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D9C2AA5" w14:textId="3B99F907" w:rsidR="00D24F2D" w:rsidRPr="00B512E8" w:rsidRDefault="00D24F2D" w:rsidP="001373CE">
      <w:pPr>
        <w:jc w:val="center"/>
        <w:rPr>
          <w:b/>
        </w:rPr>
      </w:pPr>
      <w:proofErr w:type="gramStart"/>
      <w:r>
        <w:rPr>
          <w:b/>
        </w:rPr>
        <w:t>PUC</w:t>
      </w:r>
      <w:r w:rsidRPr="00B512E8">
        <w:rPr>
          <w:b/>
        </w:rPr>
        <w:t xml:space="preserve"> DOCKET NO.</w:t>
      </w:r>
      <w:proofErr w:type="gramEnd"/>
      <w:r>
        <w:rPr>
          <w:b/>
        </w:rPr>
        <w:t xml:space="preserve"> </w:t>
      </w:r>
      <w:r w:rsidR="001373CE">
        <w:rPr>
          <w:b/>
        </w:rPr>
        <w:t>46662</w:t>
      </w:r>
    </w:p>
    <w:tbl>
      <w:tblPr>
        <w:tblStyle w:val="TableGrid"/>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68"/>
        <w:gridCol w:w="1710"/>
        <w:gridCol w:w="3870"/>
      </w:tblGrid>
      <w:tr w:rsidR="00D24F2D" w14:paraId="21FF0CBB" w14:textId="77777777" w:rsidTr="00D24F2D">
        <w:tc>
          <w:tcPr>
            <w:tcW w:w="4068" w:type="dxa"/>
          </w:tcPr>
          <w:p w14:paraId="6B1CE6CA" w14:textId="7811C0CA" w:rsidR="00D24F2D" w:rsidRDefault="009665B3" w:rsidP="00585EBF">
            <w:pPr>
              <w:jc w:val="left"/>
              <w:rPr>
                <w:b/>
              </w:rPr>
            </w:pPr>
            <w:r>
              <w:rPr>
                <w:b/>
              </w:rPr>
              <w:t>PETITION OF THE CITIES OF</w:t>
            </w:r>
          </w:p>
        </w:tc>
        <w:tc>
          <w:tcPr>
            <w:tcW w:w="1710" w:type="dxa"/>
          </w:tcPr>
          <w:p w14:paraId="4ECEC50C" w14:textId="77777777" w:rsidR="00D24F2D" w:rsidRDefault="00D24F2D" w:rsidP="00585EBF">
            <w:pPr>
              <w:jc w:val="center"/>
              <w:rPr>
                <w:b/>
              </w:rPr>
            </w:pPr>
            <w:r>
              <w:rPr>
                <w:b/>
              </w:rPr>
              <w:t>§</w:t>
            </w:r>
          </w:p>
        </w:tc>
        <w:tc>
          <w:tcPr>
            <w:tcW w:w="3870" w:type="dxa"/>
          </w:tcPr>
          <w:p w14:paraId="6D6A4C53" w14:textId="6C43916A" w:rsidR="00D24F2D" w:rsidRDefault="00D24F2D" w:rsidP="00D24F2D">
            <w:pPr>
              <w:jc w:val="center"/>
              <w:rPr>
                <w:b/>
              </w:rPr>
            </w:pPr>
          </w:p>
        </w:tc>
      </w:tr>
      <w:tr w:rsidR="00D24F2D" w14:paraId="618A36E9" w14:textId="77777777" w:rsidTr="00D24F2D">
        <w:tc>
          <w:tcPr>
            <w:tcW w:w="4068" w:type="dxa"/>
          </w:tcPr>
          <w:p w14:paraId="50983015" w14:textId="53B009E8" w:rsidR="00D24F2D" w:rsidRDefault="0069665E" w:rsidP="00B44C03">
            <w:pPr>
              <w:jc w:val="left"/>
              <w:rPr>
                <w:b/>
              </w:rPr>
            </w:pPr>
            <w:r>
              <w:rPr>
                <w:b/>
              </w:rPr>
              <w:t xml:space="preserve">GARLAND, MESQUITE, </w:t>
            </w:r>
            <w:r w:rsidR="00D24F2D">
              <w:rPr>
                <w:b/>
              </w:rPr>
              <w:t>PLANO</w:t>
            </w:r>
            <w:r w:rsidR="009665B3">
              <w:rPr>
                <w:b/>
              </w:rPr>
              <w:t xml:space="preserve">, </w:t>
            </w:r>
            <w:r w:rsidR="00D24F2D">
              <w:rPr>
                <w:b/>
              </w:rPr>
              <w:t xml:space="preserve"> </w:t>
            </w:r>
            <w:r>
              <w:rPr>
                <w:b/>
              </w:rPr>
              <w:t xml:space="preserve">AND RICHARDSON </w:t>
            </w:r>
            <w:r w:rsidR="00D24F2D">
              <w:rPr>
                <w:b/>
              </w:rPr>
              <w:t>APPEALING</w:t>
            </w:r>
            <w:r>
              <w:rPr>
                <w:b/>
              </w:rPr>
              <w:t xml:space="preserve">               </w:t>
            </w:r>
            <w:r w:rsidR="00D24F2D">
              <w:rPr>
                <w:b/>
              </w:rPr>
              <w:t xml:space="preserve"> </w:t>
            </w:r>
          </w:p>
        </w:tc>
        <w:tc>
          <w:tcPr>
            <w:tcW w:w="1710" w:type="dxa"/>
          </w:tcPr>
          <w:p w14:paraId="2615AD7F" w14:textId="5315DC06" w:rsidR="00D24F2D" w:rsidRDefault="0069665E" w:rsidP="00585EBF">
            <w:pPr>
              <w:jc w:val="center"/>
              <w:rPr>
                <w:b/>
              </w:rPr>
            </w:pPr>
            <w:r>
              <w:rPr>
                <w:b/>
              </w:rPr>
              <w:t>§</w:t>
            </w:r>
          </w:p>
          <w:p w14:paraId="797980C6" w14:textId="1D2BE75E" w:rsidR="0069665E" w:rsidRDefault="0069665E" w:rsidP="00585EBF">
            <w:pPr>
              <w:jc w:val="center"/>
              <w:rPr>
                <w:b/>
              </w:rPr>
            </w:pPr>
            <w:r>
              <w:rPr>
                <w:b/>
              </w:rPr>
              <w:t>§</w:t>
            </w:r>
          </w:p>
        </w:tc>
        <w:tc>
          <w:tcPr>
            <w:tcW w:w="3870" w:type="dxa"/>
          </w:tcPr>
          <w:p w14:paraId="454E2264" w14:textId="67BEDECA" w:rsidR="00D24F2D" w:rsidRDefault="000111E9" w:rsidP="00585EBF">
            <w:pPr>
              <w:jc w:val="left"/>
              <w:rPr>
                <w:b/>
              </w:rPr>
            </w:pPr>
            <w:r>
              <w:rPr>
                <w:b/>
              </w:rPr>
              <w:t xml:space="preserve">        PUBLIC UTILITY</w:t>
            </w:r>
          </w:p>
        </w:tc>
      </w:tr>
      <w:tr w:rsidR="0069665E" w14:paraId="52F2A629" w14:textId="77777777" w:rsidTr="00D24F2D">
        <w:tc>
          <w:tcPr>
            <w:tcW w:w="4068" w:type="dxa"/>
          </w:tcPr>
          <w:p w14:paraId="0E6967A8" w14:textId="58DF46BF" w:rsidR="0069665E" w:rsidRDefault="009665B3" w:rsidP="000111E9">
            <w:pPr>
              <w:jc w:val="left"/>
              <w:rPr>
                <w:b/>
              </w:rPr>
            </w:pPr>
            <w:r>
              <w:rPr>
                <w:b/>
              </w:rPr>
              <w:t xml:space="preserve">THE DECISION BY NORTH TEXAS MUNICIPAL WATER </w:t>
            </w:r>
            <w:r w:rsidR="000111E9">
              <w:rPr>
                <w:b/>
              </w:rPr>
              <w:t>DISTRICT AFFECTING WHOLESALE WATER RATES</w:t>
            </w:r>
          </w:p>
        </w:tc>
        <w:tc>
          <w:tcPr>
            <w:tcW w:w="1710" w:type="dxa"/>
          </w:tcPr>
          <w:p w14:paraId="386E1EE1" w14:textId="77777777" w:rsidR="0069665E" w:rsidRDefault="0069665E" w:rsidP="00585EBF">
            <w:pPr>
              <w:jc w:val="center"/>
              <w:rPr>
                <w:b/>
              </w:rPr>
            </w:pPr>
            <w:r>
              <w:rPr>
                <w:b/>
              </w:rPr>
              <w:t>§</w:t>
            </w:r>
          </w:p>
          <w:p w14:paraId="08A9ED13" w14:textId="77777777" w:rsidR="00F841E0" w:rsidRDefault="00F841E0" w:rsidP="00585EBF">
            <w:pPr>
              <w:jc w:val="center"/>
              <w:rPr>
                <w:b/>
              </w:rPr>
            </w:pPr>
            <w:r>
              <w:rPr>
                <w:b/>
              </w:rPr>
              <w:t>§</w:t>
            </w:r>
          </w:p>
          <w:p w14:paraId="79F8A3A7" w14:textId="77777777" w:rsidR="000111E9" w:rsidRDefault="000111E9" w:rsidP="00585EBF">
            <w:pPr>
              <w:jc w:val="center"/>
              <w:rPr>
                <w:b/>
              </w:rPr>
            </w:pPr>
            <w:r>
              <w:rPr>
                <w:b/>
              </w:rPr>
              <w:t>§</w:t>
            </w:r>
          </w:p>
          <w:p w14:paraId="7CBA57CB" w14:textId="0C327FA1" w:rsidR="000111E9" w:rsidRDefault="000111E9" w:rsidP="00585EBF">
            <w:pPr>
              <w:jc w:val="center"/>
              <w:rPr>
                <w:b/>
              </w:rPr>
            </w:pPr>
            <w:r>
              <w:rPr>
                <w:b/>
              </w:rPr>
              <w:t>§</w:t>
            </w:r>
          </w:p>
        </w:tc>
        <w:tc>
          <w:tcPr>
            <w:tcW w:w="3870" w:type="dxa"/>
          </w:tcPr>
          <w:p w14:paraId="228A74DE" w14:textId="30CE18FD" w:rsidR="008A21A3" w:rsidRDefault="008A21A3" w:rsidP="008A21A3">
            <w:pPr>
              <w:jc w:val="left"/>
              <w:rPr>
                <w:b/>
              </w:rPr>
            </w:pPr>
            <w:r>
              <w:rPr>
                <w:b/>
              </w:rPr>
              <w:t xml:space="preserve">      </w:t>
            </w:r>
          </w:p>
          <w:p w14:paraId="13C6F6B1" w14:textId="6DA1802B" w:rsidR="008A21A3" w:rsidRDefault="000111E9" w:rsidP="00585EBF">
            <w:pPr>
              <w:jc w:val="left"/>
              <w:rPr>
                <w:b/>
              </w:rPr>
            </w:pPr>
            <w:r>
              <w:rPr>
                <w:b/>
              </w:rPr>
              <w:t>COMMISSION OF TEXAS</w:t>
            </w:r>
          </w:p>
        </w:tc>
      </w:tr>
    </w:tbl>
    <w:p w14:paraId="53621C08" w14:textId="52AB2EE2" w:rsidR="00F855A9" w:rsidRDefault="00F855A9" w:rsidP="00462D00"/>
    <w:p w14:paraId="1701F566" w14:textId="2F6FB4A9" w:rsidR="00DA58E9" w:rsidRDefault="001373CE" w:rsidP="006B1FC6">
      <w:pPr>
        <w:spacing w:after="0"/>
        <w:jc w:val="center"/>
        <w:rPr>
          <w:rFonts w:cs="Times New Roman"/>
          <w:b/>
        </w:rPr>
      </w:pPr>
      <w:r w:rsidRPr="00C57A2A">
        <w:rPr>
          <w:rFonts w:cs="Times New Roman"/>
          <w:b/>
        </w:rPr>
        <w:t xml:space="preserve">PETITIONERS’ </w:t>
      </w:r>
      <w:r w:rsidR="00446929" w:rsidRPr="00446929">
        <w:rPr>
          <w:rFonts w:cs="Times New Roman"/>
          <w:b/>
        </w:rPr>
        <w:t>REQUEST FOR COMMISSION TO CONDUCT HEARING ON THE MERITS AND</w:t>
      </w:r>
      <w:r w:rsidR="00446929">
        <w:rPr>
          <w:rFonts w:cs="Times New Roman"/>
          <w:b/>
        </w:rPr>
        <w:t xml:space="preserve"> </w:t>
      </w:r>
      <w:r w:rsidRPr="00C57A2A">
        <w:rPr>
          <w:rFonts w:cs="Times New Roman"/>
          <w:b/>
        </w:rPr>
        <w:t>RE</w:t>
      </w:r>
      <w:r w:rsidR="00F51F91" w:rsidRPr="00C57A2A">
        <w:rPr>
          <w:rFonts w:cs="Times New Roman"/>
          <w:b/>
        </w:rPr>
        <w:t>SPONSE</w:t>
      </w:r>
      <w:r w:rsidRPr="00C57A2A">
        <w:rPr>
          <w:rFonts w:cs="Times New Roman"/>
          <w:b/>
        </w:rPr>
        <w:t xml:space="preserve"> </w:t>
      </w:r>
      <w:r w:rsidRPr="00E4601E">
        <w:rPr>
          <w:rFonts w:cs="Times New Roman"/>
          <w:b/>
        </w:rPr>
        <w:t xml:space="preserve">TO </w:t>
      </w:r>
      <w:r w:rsidR="006C15A9">
        <w:rPr>
          <w:rFonts w:cs="Times New Roman"/>
          <w:b/>
        </w:rPr>
        <w:t xml:space="preserve">DISTRICT’S </w:t>
      </w:r>
      <w:r w:rsidR="00BE47C3">
        <w:rPr>
          <w:rFonts w:cs="Times New Roman"/>
          <w:b/>
        </w:rPr>
        <w:t>RE-URGED</w:t>
      </w:r>
    </w:p>
    <w:p w14:paraId="7B14A933" w14:textId="696420C6" w:rsidR="006C15A9" w:rsidRPr="00571979" w:rsidRDefault="00DA58E9" w:rsidP="00DA58E9">
      <w:pPr>
        <w:spacing w:after="0"/>
        <w:jc w:val="center"/>
        <w:rPr>
          <w:rFonts w:cs="Times New Roman"/>
          <w:b/>
          <w:u w:val="single"/>
        </w:rPr>
      </w:pPr>
      <w:r w:rsidRPr="00571979">
        <w:rPr>
          <w:rFonts w:cs="Times New Roman"/>
          <w:b/>
          <w:u w:val="single"/>
        </w:rPr>
        <w:t>MOTION TO DISMISS AND, IN THE ALTERNATIVE</w:t>
      </w:r>
      <w:r w:rsidR="006C15A9" w:rsidRPr="00571979">
        <w:rPr>
          <w:rFonts w:cs="Times New Roman"/>
          <w:b/>
          <w:u w:val="single"/>
        </w:rPr>
        <w:t>,</w:t>
      </w:r>
      <w:r w:rsidR="00446929" w:rsidRPr="00571979">
        <w:rPr>
          <w:rFonts w:cs="Times New Roman"/>
          <w:b/>
          <w:u w:val="single"/>
        </w:rPr>
        <w:t xml:space="preserve"> </w:t>
      </w:r>
      <w:r w:rsidR="00E4601E" w:rsidRPr="00571979">
        <w:rPr>
          <w:rFonts w:cs="Times New Roman"/>
          <w:b/>
          <w:u w:val="single"/>
        </w:rPr>
        <w:t xml:space="preserve">MOTION TO </w:t>
      </w:r>
      <w:r w:rsidR="0075145B" w:rsidRPr="00571979">
        <w:rPr>
          <w:rFonts w:cs="Times New Roman"/>
          <w:b/>
          <w:u w:val="single"/>
        </w:rPr>
        <w:t>ABATE</w:t>
      </w:r>
      <w:r w:rsidRPr="00571979">
        <w:rPr>
          <w:rFonts w:cs="Times New Roman"/>
          <w:b/>
          <w:u w:val="single"/>
        </w:rPr>
        <w:t xml:space="preserve"> </w:t>
      </w:r>
    </w:p>
    <w:p w14:paraId="54216D67" w14:textId="77777777" w:rsidR="00DB3679" w:rsidRDefault="00DB3679" w:rsidP="00667885">
      <w:pPr>
        <w:pStyle w:val="TBCTitleBoldCenter"/>
      </w:pPr>
    </w:p>
    <w:p w14:paraId="61CD1D00" w14:textId="0BF8A3D8" w:rsidR="003074C5" w:rsidRDefault="003074C5" w:rsidP="00667885">
      <w:pPr>
        <w:pStyle w:val="TBCTitleBoldCenter"/>
      </w:pPr>
      <w:r>
        <w:t>TABLE OF CONTENTS</w:t>
      </w:r>
    </w:p>
    <w:p w14:paraId="374AC4B0" w14:textId="77777777" w:rsidR="00DB3679" w:rsidRDefault="00DB3679" w:rsidP="00DB3679">
      <w:pPr>
        <w:pStyle w:val="TOCPage"/>
      </w:pPr>
      <w:bookmarkStart w:id="0" w:name="TOCPage_1"/>
      <w:r>
        <w:t>Page</w:t>
      </w:r>
    </w:p>
    <w:bookmarkEnd w:id="0"/>
    <w:p w14:paraId="1414C832" w14:textId="77777777" w:rsidR="00D94A91" w:rsidRDefault="00962110" w:rsidP="00D94A91">
      <w:pPr>
        <w:pStyle w:val="TOC1"/>
        <w:rPr>
          <w:rFonts w:asciiTheme="minorHAnsi" w:eastAsiaTheme="minorEastAsia" w:hAnsiTheme="minorHAnsi"/>
          <w:noProof/>
          <w:sz w:val="22"/>
          <w:szCs w:val="22"/>
        </w:rPr>
      </w:pPr>
      <w:r>
        <w:fldChar w:fldCharType="begin"/>
      </w:r>
      <w:r w:rsidRPr="00962110">
        <w:instrText xml:space="preserve"> TOC   \t "Heading 1,1, Heading 2,2, Heading 3,3" \x \* MERGEFORMAT </w:instrText>
      </w:r>
      <w:r>
        <w:fldChar w:fldCharType="separate"/>
      </w:r>
      <w:r w:rsidR="00D94A91">
        <w:rPr>
          <w:noProof/>
        </w:rPr>
        <w:t>I.</w:t>
      </w:r>
      <w:r w:rsidR="00D94A91">
        <w:rPr>
          <w:rFonts w:asciiTheme="minorHAnsi" w:eastAsiaTheme="minorEastAsia" w:hAnsiTheme="minorHAnsi"/>
          <w:noProof/>
          <w:sz w:val="22"/>
          <w:szCs w:val="22"/>
        </w:rPr>
        <w:tab/>
      </w:r>
      <w:r w:rsidR="00D94A91">
        <w:rPr>
          <w:noProof/>
        </w:rPr>
        <w:t>EXECUTIVE SUMMARY</w:t>
      </w:r>
      <w:r w:rsidR="00D94A91">
        <w:rPr>
          <w:noProof/>
        </w:rPr>
        <w:tab/>
      </w:r>
      <w:r w:rsidR="00D94A91">
        <w:rPr>
          <w:noProof/>
        </w:rPr>
        <w:fldChar w:fldCharType="begin"/>
      </w:r>
      <w:r w:rsidR="00D94A91">
        <w:rPr>
          <w:noProof/>
        </w:rPr>
        <w:instrText xml:space="preserve"> PAGEREF _Toc479331208 \h </w:instrText>
      </w:r>
      <w:r w:rsidR="00D94A91">
        <w:rPr>
          <w:noProof/>
        </w:rPr>
      </w:r>
      <w:r w:rsidR="00D94A91">
        <w:rPr>
          <w:noProof/>
        </w:rPr>
        <w:fldChar w:fldCharType="separate"/>
      </w:r>
      <w:r w:rsidR="006A0F4F">
        <w:rPr>
          <w:noProof/>
        </w:rPr>
        <w:t>1</w:t>
      </w:r>
      <w:r w:rsidR="00D94A91">
        <w:rPr>
          <w:noProof/>
        </w:rPr>
        <w:fldChar w:fldCharType="end"/>
      </w:r>
    </w:p>
    <w:p w14:paraId="7C50EE78" w14:textId="77777777" w:rsidR="00D94A91" w:rsidRDefault="00D94A91" w:rsidP="00D94A91">
      <w:pPr>
        <w:pStyle w:val="TOC1"/>
        <w:rPr>
          <w:rFonts w:asciiTheme="minorHAnsi" w:eastAsiaTheme="minorEastAsia" w:hAnsiTheme="minorHAnsi"/>
          <w:noProof/>
          <w:sz w:val="22"/>
          <w:szCs w:val="22"/>
        </w:rPr>
      </w:pPr>
      <w:r>
        <w:rPr>
          <w:noProof/>
        </w:rPr>
        <w:t>II.</w:t>
      </w:r>
      <w:r>
        <w:rPr>
          <w:rFonts w:asciiTheme="minorHAnsi" w:eastAsiaTheme="minorEastAsia" w:hAnsiTheme="minorHAnsi"/>
          <w:noProof/>
          <w:sz w:val="22"/>
          <w:szCs w:val="22"/>
        </w:rPr>
        <w:tab/>
      </w:r>
      <w:r>
        <w:rPr>
          <w:noProof/>
        </w:rPr>
        <w:t>BACKGROUND</w:t>
      </w:r>
      <w:r>
        <w:rPr>
          <w:noProof/>
        </w:rPr>
        <w:tab/>
      </w:r>
      <w:r>
        <w:rPr>
          <w:noProof/>
        </w:rPr>
        <w:fldChar w:fldCharType="begin"/>
      </w:r>
      <w:r>
        <w:rPr>
          <w:noProof/>
        </w:rPr>
        <w:instrText xml:space="preserve"> PAGEREF _Toc479331209 \h </w:instrText>
      </w:r>
      <w:r>
        <w:rPr>
          <w:noProof/>
        </w:rPr>
      </w:r>
      <w:r>
        <w:rPr>
          <w:noProof/>
        </w:rPr>
        <w:fldChar w:fldCharType="separate"/>
      </w:r>
      <w:r w:rsidR="006A0F4F">
        <w:rPr>
          <w:noProof/>
        </w:rPr>
        <w:t>2</w:t>
      </w:r>
      <w:r>
        <w:rPr>
          <w:noProof/>
        </w:rPr>
        <w:fldChar w:fldCharType="end"/>
      </w:r>
    </w:p>
    <w:p w14:paraId="47D961CC" w14:textId="77777777" w:rsidR="00D94A91" w:rsidRDefault="00D94A91" w:rsidP="00D94A91">
      <w:pPr>
        <w:pStyle w:val="TOC1"/>
        <w:rPr>
          <w:rFonts w:asciiTheme="minorHAnsi" w:eastAsiaTheme="minorEastAsia" w:hAnsiTheme="minorHAnsi"/>
          <w:noProof/>
          <w:sz w:val="22"/>
          <w:szCs w:val="22"/>
        </w:rPr>
      </w:pPr>
      <w:r>
        <w:rPr>
          <w:noProof/>
        </w:rPr>
        <w:t>III.</w:t>
      </w:r>
      <w:r>
        <w:rPr>
          <w:rFonts w:asciiTheme="minorHAnsi" w:eastAsiaTheme="minorEastAsia" w:hAnsiTheme="minorHAnsi"/>
          <w:noProof/>
          <w:sz w:val="22"/>
          <w:szCs w:val="22"/>
        </w:rPr>
        <w:tab/>
      </w:r>
      <w:r>
        <w:rPr>
          <w:noProof/>
        </w:rPr>
        <w:t xml:space="preserve">REQUEST FOR COMMISSION TO PRESIDE OVER </w:t>
      </w:r>
      <w:r>
        <w:rPr>
          <w:noProof/>
        </w:rPr>
        <w:br/>
        <w:t>PUBLIC INTEREST HEARING</w:t>
      </w:r>
      <w:r>
        <w:rPr>
          <w:noProof/>
        </w:rPr>
        <w:tab/>
      </w:r>
      <w:r>
        <w:rPr>
          <w:noProof/>
        </w:rPr>
        <w:fldChar w:fldCharType="begin"/>
      </w:r>
      <w:r>
        <w:rPr>
          <w:noProof/>
        </w:rPr>
        <w:instrText xml:space="preserve"> PAGEREF _Toc479331210 \h </w:instrText>
      </w:r>
      <w:r>
        <w:rPr>
          <w:noProof/>
        </w:rPr>
      </w:r>
      <w:r>
        <w:rPr>
          <w:noProof/>
        </w:rPr>
        <w:fldChar w:fldCharType="separate"/>
      </w:r>
      <w:r w:rsidR="006A0F4F">
        <w:rPr>
          <w:noProof/>
        </w:rPr>
        <w:t>4</w:t>
      </w:r>
      <w:r>
        <w:rPr>
          <w:noProof/>
        </w:rPr>
        <w:fldChar w:fldCharType="end"/>
      </w:r>
    </w:p>
    <w:p w14:paraId="7989BC6D" w14:textId="77777777" w:rsidR="00D94A91" w:rsidRDefault="00D94A91" w:rsidP="00D94A91">
      <w:pPr>
        <w:pStyle w:val="TOC1"/>
        <w:rPr>
          <w:rFonts w:asciiTheme="minorHAnsi" w:eastAsiaTheme="minorEastAsia" w:hAnsiTheme="minorHAnsi"/>
          <w:noProof/>
          <w:sz w:val="22"/>
          <w:szCs w:val="22"/>
        </w:rPr>
      </w:pPr>
      <w:r>
        <w:rPr>
          <w:noProof/>
        </w:rPr>
        <w:t>IV.</w:t>
      </w:r>
      <w:r>
        <w:rPr>
          <w:rFonts w:asciiTheme="minorHAnsi" w:eastAsiaTheme="minorEastAsia" w:hAnsiTheme="minorHAnsi"/>
          <w:noProof/>
          <w:sz w:val="22"/>
          <w:szCs w:val="22"/>
        </w:rPr>
        <w:tab/>
      </w:r>
      <w:r>
        <w:rPr>
          <w:noProof/>
        </w:rPr>
        <w:t>RESPONSE TO DISTRICT’S RE-URGED MOTION TO DISMISS</w:t>
      </w:r>
      <w:r>
        <w:rPr>
          <w:noProof/>
        </w:rPr>
        <w:tab/>
      </w:r>
      <w:r>
        <w:rPr>
          <w:noProof/>
        </w:rPr>
        <w:fldChar w:fldCharType="begin"/>
      </w:r>
      <w:r>
        <w:rPr>
          <w:noProof/>
        </w:rPr>
        <w:instrText xml:space="preserve"> PAGEREF _Toc479331211 \h </w:instrText>
      </w:r>
      <w:r>
        <w:rPr>
          <w:noProof/>
        </w:rPr>
      </w:r>
      <w:r>
        <w:rPr>
          <w:noProof/>
        </w:rPr>
        <w:fldChar w:fldCharType="separate"/>
      </w:r>
      <w:r w:rsidR="006A0F4F">
        <w:rPr>
          <w:noProof/>
        </w:rPr>
        <w:t>5</w:t>
      </w:r>
      <w:r>
        <w:rPr>
          <w:noProof/>
        </w:rPr>
        <w:fldChar w:fldCharType="end"/>
      </w:r>
    </w:p>
    <w:p w14:paraId="340EA253" w14:textId="77777777" w:rsidR="00D94A91" w:rsidRDefault="00D94A91">
      <w:pPr>
        <w:pStyle w:val="TOC2"/>
        <w:tabs>
          <w:tab w:val="left" w:pos="1440"/>
        </w:tabs>
        <w:rPr>
          <w:rFonts w:asciiTheme="minorHAnsi" w:eastAsiaTheme="minorEastAsia" w:hAnsiTheme="minorHAnsi"/>
          <w:noProof/>
          <w:sz w:val="22"/>
          <w:szCs w:val="22"/>
        </w:rPr>
      </w:pPr>
      <w:r w:rsidRPr="00953AB7">
        <w:rPr>
          <w:rFonts w:ascii="Times New Roman Bold" w:hAnsi="Times New Roman Bold"/>
          <w:noProof/>
        </w:rPr>
        <w:t>A.</w:t>
      </w:r>
      <w:r>
        <w:rPr>
          <w:rFonts w:asciiTheme="minorHAnsi" w:eastAsiaTheme="minorEastAsia" w:hAnsiTheme="minorHAnsi"/>
          <w:noProof/>
          <w:sz w:val="22"/>
          <w:szCs w:val="22"/>
        </w:rPr>
        <w:tab/>
      </w:r>
      <w:r w:rsidRPr="00953AB7">
        <w:rPr>
          <w:noProof/>
          <w:u w:val="single"/>
        </w:rPr>
        <w:t>The District, Not the Contract, Sets the Rates</w:t>
      </w:r>
      <w:r>
        <w:rPr>
          <w:noProof/>
        </w:rPr>
        <w:tab/>
      </w:r>
      <w:r>
        <w:rPr>
          <w:noProof/>
        </w:rPr>
        <w:fldChar w:fldCharType="begin"/>
      </w:r>
      <w:r>
        <w:rPr>
          <w:noProof/>
        </w:rPr>
        <w:instrText xml:space="preserve"> PAGEREF _Toc479331212 \h </w:instrText>
      </w:r>
      <w:r>
        <w:rPr>
          <w:noProof/>
        </w:rPr>
      </w:r>
      <w:r>
        <w:rPr>
          <w:noProof/>
        </w:rPr>
        <w:fldChar w:fldCharType="separate"/>
      </w:r>
      <w:r w:rsidR="006A0F4F">
        <w:rPr>
          <w:noProof/>
        </w:rPr>
        <w:t>6</w:t>
      </w:r>
      <w:r>
        <w:rPr>
          <w:noProof/>
        </w:rPr>
        <w:fldChar w:fldCharType="end"/>
      </w:r>
    </w:p>
    <w:p w14:paraId="3076263E" w14:textId="77777777" w:rsidR="00D94A91" w:rsidRDefault="00D94A91">
      <w:pPr>
        <w:pStyle w:val="TOC3"/>
        <w:tabs>
          <w:tab w:val="left" w:pos="2160"/>
        </w:tabs>
        <w:rPr>
          <w:rFonts w:asciiTheme="minorHAnsi" w:eastAsiaTheme="minorEastAsia" w:hAnsiTheme="minorHAnsi"/>
          <w:noProof/>
          <w:sz w:val="22"/>
          <w:szCs w:val="22"/>
        </w:rPr>
      </w:pPr>
      <w:r w:rsidRPr="00953AB7">
        <w:rPr>
          <w:rFonts w:ascii="Times New Roman Bold" w:hAnsi="Times New Roman Bold"/>
          <w:noProof/>
        </w:rPr>
        <w:t>1.</w:t>
      </w:r>
      <w:r>
        <w:rPr>
          <w:rFonts w:asciiTheme="minorHAnsi" w:eastAsiaTheme="minorEastAsia" w:hAnsiTheme="minorHAnsi"/>
          <w:noProof/>
          <w:sz w:val="22"/>
          <w:szCs w:val="22"/>
        </w:rPr>
        <w:tab/>
      </w:r>
      <w:r>
        <w:rPr>
          <w:noProof/>
        </w:rPr>
        <w:t>Courts Have Clarified That Rates Set Pursuant to a Contract Are Distinct from Rates Set in a Contract</w:t>
      </w:r>
      <w:r>
        <w:rPr>
          <w:noProof/>
        </w:rPr>
        <w:tab/>
      </w:r>
      <w:r>
        <w:rPr>
          <w:noProof/>
        </w:rPr>
        <w:fldChar w:fldCharType="begin"/>
      </w:r>
      <w:r>
        <w:rPr>
          <w:noProof/>
        </w:rPr>
        <w:instrText xml:space="preserve"> PAGEREF _Toc479331213 \h </w:instrText>
      </w:r>
      <w:r>
        <w:rPr>
          <w:noProof/>
        </w:rPr>
      </w:r>
      <w:r>
        <w:rPr>
          <w:noProof/>
        </w:rPr>
        <w:fldChar w:fldCharType="separate"/>
      </w:r>
      <w:r w:rsidR="006A0F4F">
        <w:rPr>
          <w:noProof/>
        </w:rPr>
        <w:t>6</w:t>
      </w:r>
      <w:r>
        <w:rPr>
          <w:noProof/>
        </w:rPr>
        <w:fldChar w:fldCharType="end"/>
      </w:r>
    </w:p>
    <w:p w14:paraId="3FA5D511" w14:textId="77777777" w:rsidR="00D94A91" w:rsidRDefault="00D94A91">
      <w:pPr>
        <w:pStyle w:val="TOC3"/>
        <w:tabs>
          <w:tab w:val="left" w:pos="2160"/>
        </w:tabs>
        <w:rPr>
          <w:rFonts w:asciiTheme="minorHAnsi" w:eastAsiaTheme="minorEastAsia" w:hAnsiTheme="minorHAnsi"/>
          <w:noProof/>
          <w:sz w:val="22"/>
          <w:szCs w:val="22"/>
        </w:rPr>
      </w:pPr>
      <w:r w:rsidRPr="00953AB7">
        <w:rPr>
          <w:rFonts w:ascii="Times New Roman Bold" w:hAnsi="Times New Roman Bold"/>
          <w:noProof/>
        </w:rPr>
        <w:t>2.</w:t>
      </w:r>
      <w:r>
        <w:rPr>
          <w:rFonts w:asciiTheme="minorHAnsi" w:eastAsiaTheme="minorEastAsia" w:hAnsiTheme="minorHAnsi"/>
          <w:noProof/>
          <w:sz w:val="22"/>
          <w:szCs w:val="22"/>
        </w:rPr>
        <w:tab/>
      </w:r>
      <w:r>
        <w:rPr>
          <w:noProof/>
        </w:rPr>
        <w:t>Courts Have Confirmed That Reviewing Wholesale Water Rates Set Pursuant to a Contract Is Not a Challenge to the Contract</w:t>
      </w:r>
      <w:r>
        <w:rPr>
          <w:noProof/>
        </w:rPr>
        <w:tab/>
      </w:r>
      <w:r>
        <w:rPr>
          <w:noProof/>
        </w:rPr>
        <w:fldChar w:fldCharType="begin"/>
      </w:r>
      <w:r>
        <w:rPr>
          <w:noProof/>
        </w:rPr>
        <w:instrText xml:space="preserve"> PAGEREF _Toc479331214 \h </w:instrText>
      </w:r>
      <w:r>
        <w:rPr>
          <w:noProof/>
        </w:rPr>
      </w:r>
      <w:r>
        <w:rPr>
          <w:noProof/>
        </w:rPr>
        <w:fldChar w:fldCharType="separate"/>
      </w:r>
      <w:r w:rsidR="006A0F4F">
        <w:rPr>
          <w:noProof/>
        </w:rPr>
        <w:t>7</w:t>
      </w:r>
      <w:r>
        <w:rPr>
          <w:noProof/>
        </w:rPr>
        <w:fldChar w:fldCharType="end"/>
      </w:r>
    </w:p>
    <w:p w14:paraId="57EBBE06" w14:textId="77777777" w:rsidR="00D94A91" w:rsidRDefault="00D94A91">
      <w:pPr>
        <w:pStyle w:val="TOC3"/>
        <w:tabs>
          <w:tab w:val="left" w:pos="2160"/>
        </w:tabs>
        <w:rPr>
          <w:rFonts w:asciiTheme="minorHAnsi" w:eastAsiaTheme="minorEastAsia" w:hAnsiTheme="minorHAnsi"/>
          <w:noProof/>
          <w:sz w:val="22"/>
          <w:szCs w:val="22"/>
        </w:rPr>
      </w:pPr>
      <w:r w:rsidRPr="00953AB7">
        <w:rPr>
          <w:rFonts w:ascii="Times New Roman Bold" w:hAnsi="Times New Roman Bold"/>
          <w:noProof/>
        </w:rPr>
        <w:t>3.</w:t>
      </w:r>
      <w:r>
        <w:rPr>
          <w:rFonts w:asciiTheme="minorHAnsi" w:eastAsiaTheme="minorEastAsia" w:hAnsiTheme="minorHAnsi"/>
          <w:noProof/>
          <w:sz w:val="22"/>
          <w:szCs w:val="22"/>
        </w:rPr>
        <w:tab/>
      </w:r>
      <w:r>
        <w:rPr>
          <w:noProof/>
        </w:rPr>
        <w:t>In the Preamble to the Governing Rules Challenged by the District, the Texas Water Commission Confirmed That Review of Rates Set Pursuant to a Contract Is Not a Challenge to the Contract</w:t>
      </w:r>
      <w:r>
        <w:rPr>
          <w:noProof/>
        </w:rPr>
        <w:tab/>
      </w:r>
      <w:r>
        <w:rPr>
          <w:noProof/>
        </w:rPr>
        <w:fldChar w:fldCharType="begin"/>
      </w:r>
      <w:r>
        <w:rPr>
          <w:noProof/>
        </w:rPr>
        <w:instrText xml:space="preserve"> PAGEREF _Toc479331215 \h </w:instrText>
      </w:r>
      <w:r>
        <w:rPr>
          <w:noProof/>
        </w:rPr>
      </w:r>
      <w:r>
        <w:rPr>
          <w:noProof/>
        </w:rPr>
        <w:fldChar w:fldCharType="separate"/>
      </w:r>
      <w:r w:rsidR="006A0F4F">
        <w:rPr>
          <w:noProof/>
        </w:rPr>
        <w:t>7</w:t>
      </w:r>
      <w:r>
        <w:rPr>
          <w:noProof/>
        </w:rPr>
        <w:fldChar w:fldCharType="end"/>
      </w:r>
    </w:p>
    <w:p w14:paraId="09E5C5A6" w14:textId="77777777" w:rsidR="00D94A91" w:rsidRDefault="00D94A91">
      <w:pPr>
        <w:pStyle w:val="TOC3"/>
        <w:tabs>
          <w:tab w:val="left" w:pos="2160"/>
        </w:tabs>
        <w:rPr>
          <w:rFonts w:asciiTheme="minorHAnsi" w:eastAsiaTheme="minorEastAsia" w:hAnsiTheme="minorHAnsi"/>
          <w:noProof/>
          <w:sz w:val="22"/>
          <w:szCs w:val="22"/>
        </w:rPr>
      </w:pPr>
      <w:r w:rsidRPr="00953AB7">
        <w:rPr>
          <w:rFonts w:ascii="Times New Roman Bold" w:hAnsi="Times New Roman Bold"/>
          <w:noProof/>
        </w:rPr>
        <w:t>4.</w:t>
      </w:r>
      <w:r>
        <w:rPr>
          <w:rFonts w:asciiTheme="minorHAnsi" w:eastAsiaTheme="minorEastAsia" w:hAnsiTheme="minorHAnsi"/>
          <w:noProof/>
          <w:sz w:val="22"/>
          <w:szCs w:val="22"/>
        </w:rPr>
        <w:tab/>
      </w:r>
      <w:r>
        <w:rPr>
          <w:noProof/>
        </w:rPr>
        <w:t>The Commission Has Ruled That Reviewing Rates Set By Municipal Ordinance Is Not a Challenge to the Underlying Contract</w:t>
      </w:r>
      <w:r>
        <w:rPr>
          <w:noProof/>
        </w:rPr>
        <w:tab/>
      </w:r>
      <w:r>
        <w:rPr>
          <w:noProof/>
        </w:rPr>
        <w:fldChar w:fldCharType="begin"/>
      </w:r>
      <w:r>
        <w:rPr>
          <w:noProof/>
        </w:rPr>
        <w:instrText xml:space="preserve"> PAGEREF _Toc479331216 \h </w:instrText>
      </w:r>
      <w:r>
        <w:rPr>
          <w:noProof/>
        </w:rPr>
      </w:r>
      <w:r>
        <w:rPr>
          <w:noProof/>
        </w:rPr>
        <w:fldChar w:fldCharType="separate"/>
      </w:r>
      <w:r w:rsidR="006A0F4F">
        <w:rPr>
          <w:noProof/>
        </w:rPr>
        <w:t>8</w:t>
      </w:r>
      <w:r>
        <w:rPr>
          <w:noProof/>
        </w:rPr>
        <w:fldChar w:fldCharType="end"/>
      </w:r>
    </w:p>
    <w:p w14:paraId="4EDC2022" w14:textId="77777777" w:rsidR="00D94A91" w:rsidRDefault="00D94A91">
      <w:pPr>
        <w:pStyle w:val="TOC2"/>
        <w:tabs>
          <w:tab w:val="left" w:pos="1440"/>
        </w:tabs>
        <w:rPr>
          <w:rFonts w:asciiTheme="minorHAnsi" w:eastAsiaTheme="minorEastAsia" w:hAnsiTheme="minorHAnsi"/>
          <w:noProof/>
          <w:sz w:val="22"/>
          <w:szCs w:val="22"/>
        </w:rPr>
      </w:pPr>
      <w:r w:rsidRPr="00953AB7">
        <w:rPr>
          <w:rFonts w:ascii="Times New Roman Bold" w:hAnsi="Times New Roman Bold"/>
          <w:noProof/>
        </w:rPr>
        <w:t>B.</w:t>
      </w:r>
      <w:r>
        <w:rPr>
          <w:rFonts w:asciiTheme="minorHAnsi" w:eastAsiaTheme="minorEastAsia" w:hAnsiTheme="minorHAnsi"/>
          <w:noProof/>
          <w:sz w:val="22"/>
          <w:szCs w:val="22"/>
        </w:rPr>
        <w:tab/>
      </w:r>
      <w:r w:rsidRPr="00953AB7">
        <w:rPr>
          <w:noProof/>
          <w:u w:val="single"/>
        </w:rPr>
        <w:t>Additional Case Law Cited by the District Is Irrelevant to this Case, and in Fact Is Supportive of the Commission’s Jurisdiction</w:t>
      </w:r>
      <w:r>
        <w:rPr>
          <w:noProof/>
        </w:rPr>
        <w:tab/>
      </w:r>
      <w:r>
        <w:rPr>
          <w:noProof/>
        </w:rPr>
        <w:fldChar w:fldCharType="begin"/>
      </w:r>
      <w:r>
        <w:rPr>
          <w:noProof/>
        </w:rPr>
        <w:instrText xml:space="preserve"> PAGEREF _Toc479331217 \h </w:instrText>
      </w:r>
      <w:r>
        <w:rPr>
          <w:noProof/>
        </w:rPr>
      </w:r>
      <w:r>
        <w:rPr>
          <w:noProof/>
        </w:rPr>
        <w:fldChar w:fldCharType="separate"/>
      </w:r>
      <w:r w:rsidR="006A0F4F">
        <w:rPr>
          <w:noProof/>
        </w:rPr>
        <w:t>8</w:t>
      </w:r>
      <w:r>
        <w:rPr>
          <w:noProof/>
        </w:rPr>
        <w:fldChar w:fldCharType="end"/>
      </w:r>
    </w:p>
    <w:p w14:paraId="6DC9A658" w14:textId="77777777" w:rsidR="00D94A91" w:rsidRDefault="00D94A91">
      <w:pPr>
        <w:pStyle w:val="TOC2"/>
        <w:tabs>
          <w:tab w:val="left" w:pos="1440"/>
        </w:tabs>
        <w:rPr>
          <w:rFonts w:asciiTheme="minorHAnsi" w:eastAsiaTheme="minorEastAsia" w:hAnsiTheme="minorHAnsi"/>
          <w:noProof/>
          <w:sz w:val="22"/>
          <w:szCs w:val="22"/>
        </w:rPr>
      </w:pPr>
      <w:r w:rsidRPr="00953AB7">
        <w:rPr>
          <w:rFonts w:ascii="Times New Roman Bold" w:hAnsi="Times New Roman Bold"/>
          <w:noProof/>
        </w:rPr>
        <w:t>C.</w:t>
      </w:r>
      <w:r>
        <w:rPr>
          <w:rFonts w:asciiTheme="minorHAnsi" w:eastAsiaTheme="minorEastAsia" w:hAnsiTheme="minorHAnsi"/>
          <w:noProof/>
          <w:sz w:val="22"/>
          <w:szCs w:val="22"/>
        </w:rPr>
        <w:tab/>
      </w:r>
      <w:r w:rsidRPr="00953AB7">
        <w:rPr>
          <w:noProof/>
          <w:u w:val="single"/>
        </w:rPr>
        <w:t>The District’s Alleged “Parade of Horribles” Simply Doesn’t Make Sense</w:t>
      </w:r>
      <w:r>
        <w:rPr>
          <w:noProof/>
        </w:rPr>
        <w:tab/>
      </w:r>
      <w:r>
        <w:rPr>
          <w:noProof/>
        </w:rPr>
        <w:fldChar w:fldCharType="begin"/>
      </w:r>
      <w:r>
        <w:rPr>
          <w:noProof/>
        </w:rPr>
        <w:instrText xml:space="preserve"> PAGEREF _Toc479331218 \h </w:instrText>
      </w:r>
      <w:r>
        <w:rPr>
          <w:noProof/>
        </w:rPr>
      </w:r>
      <w:r>
        <w:rPr>
          <w:noProof/>
        </w:rPr>
        <w:fldChar w:fldCharType="separate"/>
      </w:r>
      <w:r w:rsidR="006A0F4F">
        <w:rPr>
          <w:noProof/>
        </w:rPr>
        <w:t>9</w:t>
      </w:r>
      <w:r>
        <w:rPr>
          <w:noProof/>
        </w:rPr>
        <w:fldChar w:fldCharType="end"/>
      </w:r>
    </w:p>
    <w:p w14:paraId="6BFF70AE" w14:textId="77777777" w:rsidR="00D94A91" w:rsidRDefault="00D94A91" w:rsidP="00D94A91">
      <w:pPr>
        <w:pStyle w:val="TOC1"/>
        <w:rPr>
          <w:rFonts w:asciiTheme="minorHAnsi" w:eastAsiaTheme="minorEastAsia" w:hAnsiTheme="minorHAnsi"/>
          <w:noProof/>
          <w:sz w:val="22"/>
          <w:szCs w:val="22"/>
        </w:rPr>
      </w:pPr>
      <w:r>
        <w:rPr>
          <w:noProof/>
        </w:rPr>
        <w:t>V.</w:t>
      </w:r>
      <w:r>
        <w:rPr>
          <w:rFonts w:asciiTheme="minorHAnsi" w:eastAsiaTheme="minorEastAsia" w:hAnsiTheme="minorHAnsi"/>
          <w:noProof/>
          <w:sz w:val="22"/>
          <w:szCs w:val="22"/>
        </w:rPr>
        <w:tab/>
      </w:r>
      <w:r>
        <w:rPr>
          <w:noProof/>
        </w:rPr>
        <w:t>RESPONSE TO DISTRICT’S MOTION TO ABATE</w:t>
      </w:r>
      <w:r>
        <w:rPr>
          <w:noProof/>
        </w:rPr>
        <w:tab/>
      </w:r>
      <w:r>
        <w:rPr>
          <w:noProof/>
        </w:rPr>
        <w:fldChar w:fldCharType="begin"/>
      </w:r>
      <w:r>
        <w:rPr>
          <w:noProof/>
        </w:rPr>
        <w:instrText xml:space="preserve"> PAGEREF _Toc479331219 \h </w:instrText>
      </w:r>
      <w:r>
        <w:rPr>
          <w:noProof/>
        </w:rPr>
      </w:r>
      <w:r>
        <w:rPr>
          <w:noProof/>
        </w:rPr>
        <w:fldChar w:fldCharType="separate"/>
      </w:r>
      <w:r w:rsidR="006A0F4F">
        <w:rPr>
          <w:noProof/>
        </w:rPr>
        <w:t>10</w:t>
      </w:r>
      <w:r>
        <w:rPr>
          <w:noProof/>
        </w:rPr>
        <w:fldChar w:fldCharType="end"/>
      </w:r>
    </w:p>
    <w:p w14:paraId="4192C703" w14:textId="77777777" w:rsidR="00D94A91" w:rsidRDefault="00D94A91">
      <w:pPr>
        <w:pStyle w:val="TOC2"/>
        <w:tabs>
          <w:tab w:val="left" w:pos="1440"/>
        </w:tabs>
        <w:rPr>
          <w:rFonts w:asciiTheme="minorHAnsi" w:eastAsiaTheme="minorEastAsia" w:hAnsiTheme="minorHAnsi"/>
          <w:noProof/>
          <w:sz w:val="22"/>
          <w:szCs w:val="22"/>
        </w:rPr>
      </w:pPr>
      <w:r w:rsidRPr="00953AB7">
        <w:rPr>
          <w:rFonts w:ascii="Times New Roman Bold" w:hAnsi="Times New Roman Bold"/>
          <w:noProof/>
        </w:rPr>
        <w:lastRenderedPageBreak/>
        <w:t>A.</w:t>
      </w:r>
      <w:r>
        <w:rPr>
          <w:rFonts w:asciiTheme="minorHAnsi" w:eastAsiaTheme="minorEastAsia" w:hAnsiTheme="minorHAnsi"/>
          <w:noProof/>
          <w:sz w:val="22"/>
          <w:szCs w:val="22"/>
        </w:rPr>
        <w:tab/>
      </w:r>
      <w:r w:rsidRPr="00953AB7">
        <w:rPr>
          <w:noProof/>
          <w:u w:val="single"/>
        </w:rPr>
        <w:t>The District’s Grounds Do Not Support Abatement</w:t>
      </w:r>
      <w:r>
        <w:rPr>
          <w:noProof/>
        </w:rPr>
        <w:tab/>
      </w:r>
      <w:r>
        <w:rPr>
          <w:noProof/>
        </w:rPr>
        <w:fldChar w:fldCharType="begin"/>
      </w:r>
      <w:r>
        <w:rPr>
          <w:noProof/>
        </w:rPr>
        <w:instrText xml:space="preserve"> PAGEREF _Toc479331220 \h </w:instrText>
      </w:r>
      <w:r>
        <w:rPr>
          <w:noProof/>
        </w:rPr>
      </w:r>
      <w:r>
        <w:rPr>
          <w:noProof/>
        </w:rPr>
        <w:fldChar w:fldCharType="separate"/>
      </w:r>
      <w:r w:rsidR="006A0F4F">
        <w:rPr>
          <w:noProof/>
        </w:rPr>
        <w:t>10</w:t>
      </w:r>
      <w:r>
        <w:rPr>
          <w:noProof/>
        </w:rPr>
        <w:fldChar w:fldCharType="end"/>
      </w:r>
    </w:p>
    <w:p w14:paraId="36E9850C" w14:textId="77777777" w:rsidR="00D94A91" w:rsidRDefault="00D94A91">
      <w:pPr>
        <w:pStyle w:val="TOC2"/>
        <w:tabs>
          <w:tab w:val="left" w:pos="1440"/>
        </w:tabs>
        <w:rPr>
          <w:rFonts w:asciiTheme="minorHAnsi" w:eastAsiaTheme="minorEastAsia" w:hAnsiTheme="minorHAnsi"/>
          <w:noProof/>
          <w:sz w:val="22"/>
          <w:szCs w:val="22"/>
        </w:rPr>
      </w:pPr>
      <w:r w:rsidRPr="00953AB7">
        <w:rPr>
          <w:rFonts w:ascii="Times New Roman Bold" w:hAnsi="Times New Roman Bold"/>
          <w:noProof/>
        </w:rPr>
        <w:t>B.</w:t>
      </w:r>
      <w:r>
        <w:rPr>
          <w:rFonts w:asciiTheme="minorHAnsi" w:eastAsiaTheme="minorEastAsia" w:hAnsiTheme="minorHAnsi"/>
          <w:noProof/>
          <w:sz w:val="22"/>
          <w:szCs w:val="22"/>
        </w:rPr>
        <w:tab/>
      </w:r>
      <w:r w:rsidRPr="00953AB7">
        <w:rPr>
          <w:noProof/>
          <w:u w:val="single"/>
        </w:rPr>
        <w:t>The Presiding Officer Would Not Be The First to Deny a Motion to Abate Under Similar Circumstances</w:t>
      </w:r>
      <w:r>
        <w:rPr>
          <w:noProof/>
        </w:rPr>
        <w:tab/>
      </w:r>
      <w:r>
        <w:rPr>
          <w:noProof/>
        </w:rPr>
        <w:fldChar w:fldCharType="begin"/>
      </w:r>
      <w:r>
        <w:rPr>
          <w:noProof/>
        </w:rPr>
        <w:instrText xml:space="preserve"> PAGEREF _Toc479331221 \h </w:instrText>
      </w:r>
      <w:r>
        <w:rPr>
          <w:noProof/>
        </w:rPr>
      </w:r>
      <w:r>
        <w:rPr>
          <w:noProof/>
        </w:rPr>
        <w:fldChar w:fldCharType="separate"/>
      </w:r>
      <w:r w:rsidR="006A0F4F">
        <w:rPr>
          <w:noProof/>
        </w:rPr>
        <w:t>11</w:t>
      </w:r>
      <w:r>
        <w:rPr>
          <w:noProof/>
        </w:rPr>
        <w:fldChar w:fldCharType="end"/>
      </w:r>
    </w:p>
    <w:p w14:paraId="37A1F7B9" w14:textId="77777777" w:rsidR="00D94A91" w:rsidRDefault="00D94A91" w:rsidP="00D94A91">
      <w:pPr>
        <w:pStyle w:val="TOC1"/>
        <w:rPr>
          <w:rFonts w:asciiTheme="minorHAnsi" w:eastAsiaTheme="minorEastAsia" w:hAnsiTheme="minorHAnsi"/>
          <w:noProof/>
          <w:sz w:val="22"/>
          <w:szCs w:val="22"/>
        </w:rPr>
      </w:pPr>
      <w:r>
        <w:rPr>
          <w:noProof/>
        </w:rPr>
        <w:t>VI.</w:t>
      </w:r>
      <w:r>
        <w:rPr>
          <w:rFonts w:asciiTheme="minorHAnsi" w:eastAsiaTheme="minorEastAsia" w:hAnsiTheme="minorHAnsi"/>
          <w:noProof/>
          <w:sz w:val="22"/>
          <w:szCs w:val="22"/>
        </w:rPr>
        <w:tab/>
      </w:r>
      <w:r>
        <w:rPr>
          <w:noProof/>
        </w:rPr>
        <w:t>CONCLUSION</w:t>
      </w:r>
      <w:r>
        <w:rPr>
          <w:noProof/>
        </w:rPr>
        <w:tab/>
      </w:r>
      <w:r>
        <w:rPr>
          <w:noProof/>
        </w:rPr>
        <w:fldChar w:fldCharType="begin"/>
      </w:r>
      <w:r>
        <w:rPr>
          <w:noProof/>
        </w:rPr>
        <w:instrText xml:space="preserve"> PAGEREF _Toc479331222 \h </w:instrText>
      </w:r>
      <w:r>
        <w:rPr>
          <w:noProof/>
        </w:rPr>
      </w:r>
      <w:r>
        <w:rPr>
          <w:noProof/>
        </w:rPr>
        <w:fldChar w:fldCharType="separate"/>
      </w:r>
      <w:r w:rsidR="006A0F4F">
        <w:rPr>
          <w:noProof/>
        </w:rPr>
        <w:t>12</w:t>
      </w:r>
      <w:r>
        <w:rPr>
          <w:noProof/>
        </w:rPr>
        <w:fldChar w:fldCharType="end"/>
      </w:r>
    </w:p>
    <w:p w14:paraId="4C8A26CC" w14:textId="52F4E619" w:rsidR="00DB3679" w:rsidRPr="00CD1772" w:rsidRDefault="00962110" w:rsidP="00DB3679">
      <w:pPr>
        <w:rPr>
          <w:b/>
          <w:u w:val="single"/>
        </w:rPr>
      </w:pPr>
      <w:r>
        <w:fldChar w:fldCharType="end"/>
      </w:r>
      <w:r w:rsidR="00DB3679" w:rsidRPr="00CD1772">
        <w:rPr>
          <w:b/>
          <w:u w:val="single"/>
        </w:rPr>
        <w:t>ATTACHMENTS</w:t>
      </w:r>
    </w:p>
    <w:p w14:paraId="6AFF4AF4" w14:textId="77777777" w:rsidR="00DB3679" w:rsidRDefault="00DB3679" w:rsidP="00DB3679">
      <w:pPr>
        <w:spacing w:after="0"/>
        <w:ind w:left="720" w:hanging="720"/>
      </w:pPr>
      <w:r>
        <w:t>1</w:t>
      </w:r>
      <w:r>
        <w:tab/>
        <w:t xml:space="preserve">Affidavit of Judd Sanderson in Support of Plaintiff’s TRO Application, </w:t>
      </w:r>
      <w:r w:rsidRPr="001B72C0">
        <w:rPr>
          <w:rFonts w:cs="Times New Roman"/>
          <w:i/>
        </w:rPr>
        <w:t xml:space="preserve">N. Tex. </w:t>
      </w:r>
      <w:proofErr w:type="spellStart"/>
      <w:r w:rsidRPr="001B72C0">
        <w:rPr>
          <w:rFonts w:cs="Times New Roman"/>
          <w:i/>
        </w:rPr>
        <w:t>Mun</w:t>
      </w:r>
      <w:proofErr w:type="spellEnd"/>
      <w:r w:rsidRPr="001B72C0">
        <w:rPr>
          <w:rFonts w:cs="Times New Roman"/>
          <w:i/>
        </w:rPr>
        <w:t xml:space="preserve">. </w:t>
      </w:r>
      <w:proofErr w:type="gramStart"/>
      <w:r w:rsidRPr="001B72C0">
        <w:rPr>
          <w:rFonts w:cs="Times New Roman"/>
          <w:i/>
        </w:rPr>
        <w:t>Water Dist. v. Pub.</w:t>
      </w:r>
      <w:proofErr w:type="gramEnd"/>
      <w:r w:rsidRPr="001B72C0">
        <w:rPr>
          <w:rFonts w:cs="Times New Roman"/>
          <w:i/>
        </w:rPr>
        <w:t xml:space="preserve"> Util. </w:t>
      </w:r>
      <w:proofErr w:type="spellStart"/>
      <w:r w:rsidRPr="001B72C0">
        <w:rPr>
          <w:rFonts w:cs="Times New Roman"/>
          <w:i/>
        </w:rPr>
        <w:t>Comm'n</w:t>
      </w:r>
      <w:proofErr w:type="spellEnd"/>
      <w:r w:rsidRPr="001B72C0">
        <w:rPr>
          <w:rFonts w:cs="Times New Roman"/>
          <w:i/>
        </w:rPr>
        <w:t xml:space="preserve"> of Tex.</w:t>
      </w:r>
      <w:r w:rsidRPr="001B72C0">
        <w:rPr>
          <w:rFonts w:cs="Times New Roman"/>
        </w:rPr>
        <w:t>, No. D-1-</w:t>
      </w:r>
      <w:proofErr w:type="spellStart"/>
      <w:r w:rsidRPr="001B72C0">
        <w:rPr>
          <w:rFonts w:cs="Times New Roman"/>
        </w:rPr>
        <w:t>GN</w:t>
      </w:r>
      <w:proofErr w:type="spellEnd"/>
      <w:r w:rsidRPr="001B72C0">
        <w:rPr>
          <w:rFonts w:cs="Times New Roman"/>
        </w:rPr>
        <w:t xml:space="preserve">-17-000877 (Travis </w:t>
      </w:r>
      <w:proofErr w:type="spellStart"/>
      <w:r w:rsidRPr="001B72C0">
        <w:rPr>
          <w:rFonts w:cs="Times New Roman"/>
        </w:rPr>
        <w:t>Cty</w:t>
      </w:r>
      <w:proofErr w:type="spellEnd"/>
      <w:r w:rsidRPr="001B72C0">
        <w:rPr>
          <w:rFonts w:cs="Times New Roman"/>
        </w:rPr>
        <w:t xml:space="preserve">. Dist. Ct. Mar. </w:t>
      </w:r>
      <w:r>
        <w:rPr>
          <w:rFonts w:cs="Times New Roman"/>
        </w:rPr>
        <w:t>7</w:t>
      </w:r>
      <w:r w:rsidRPr="001B72C0">
        <w:rPr>
          <w:rFonts w:cs="Times New Roman"/>
        </w:rPr>
        <w:t>, 2017)</w:t>
      </w:r>
    </w:p>
    <w:p w14:paraId="5EEB7397" w14:textId="77777777" w:rsidR="00DB3679" w:rsidRDefault="00DB3679" w:rsidP="00DB3679">
      <w:pPr>
        <w:spacing w:after="0"/>
        <w:ind w:left="720" w:hanging="720"/>
      </w:pPr>
    </w:p>
    <w:p w14:paraId="09BE58ED" w14:textId="77777777" w:rsidR="00DB3679" w:rsidRDefault="00DB3679" w:rsidP="00DB3679">
      <w:pPr>
        <w:spacing w:after="0"/>
        <w:ind w:left="720" w:hanging="720"/>
      </w:pPr>
      <w:r>
        <w:t>2</w:t>
      </w:r>
      <w:r>
        <w:tab/>
        <w:t>North Texas Municipal Water District Minutes of the Regular Meeting of the Board of Directors (Feb. 23, 2017)</w:t>
      </w:r>
    </w:p>
    <w:p w14:paraId="6666333E" w14:textId="77777777" w:rsidR="00DB3679" w:rsidRDefault="00DB3679" w:rsidP="00DB3679">
      <w:pPr>
        <w:spacing w:after="0"/>
      </w:pPr>
    </w:p>
    <w:p w14:paraId="79C8C5BC" w14:textId="77777777" w:rsidR="00DB3679" w:rsidRDefault="00DB3679" w:rsidP="00DB3679">
      <w:pPr>
        <w:spacing w:after="0"/>
        <w:ind w:left="720" w:hanging="720"/>
      </w:pPr>
      <w:r>
        <w:t>3</w:t>
      </w:r>
      <w:r>
        <w:tab/>
      </w:r>
      <w:r w:rsidRPr="001B72C0">
        <w:rPr>
          <w:rFonts w:cs="Times New Roman"/>
        </w:rPr>
        <w:t xml:space="preserve">Original Answer and Plea in Abatement of Defendant Public Utility Commission of Texas, </w:t>
      </w:r>
      <w:r w:rsidRPr="001B72C0">
        <w:rPr>
          <w:rFonts w:cs="Times New Roman"/>
          <w:i/>
        </w:rPr>
        <w:t xml:space="preserve">N. Tex. </w:t>
      </w:r>
      <w:proofErr w:type="spellStart"/>
      <w:r w:rsidRPr="001B72C0">
        <w:rPr>
          <w:rFonts w:cs="Times New Roman"/>
          <w:i/>
        </w:rPr>
        <w:t>Mun</w:t>
      </w:r>
      <w:proofErr w:type="spellEnd"/>
      <w:r w:rsidRPr="001B72C0">
        <w:rPr>
          <w:rFonts w:cs="Times New Roman"/>
          <w:i/>
        </w:rPr>
        <w:t xml:space="preserve">. </w:t>
      </w:r>
      <w:proofErr w:type="gramStart"/>
      <w:r w:rsidRPr="001B72C0">
        <w:rPr>
          <w:rFonts w:cs="Times New Roman"/>
          <w:i/>
        </w:rPr>
        <w:t>Water Dist. v. Pub.</w:t>
      </w:r>
      <w:proofErr w:type="gramEnd"/>
      <w:r w:rsidRPr="001B72C0">
        <w:rPr>
          <w:rFonts w:cs="Times New Roman"/>
          <w:i/>
        </w:rPr>
        <w:t xml:space="preserve"> </w:t>
      </w:r>
      <w:proofErr w:type="gramStart"/>
      <w:r w:rsidRPr="001B72C0">
        <w:rPr>
          <w:rFonts w:cs="Times New Roman"/>
          <w:i/>
        </w:rPr>
        <w:t xml:space="preserve">Util. </w:t>
      </w:r>
      <w:proofErr w:type="spellStart"/>
      <w:r w:rsidRPr="001B72C0">
        <w:rPr>
          <w:rFonts w:cs="Times New Roman"/>
          <w:i/>
        </w:rPr>
        <w:t>Comm'n</w:t>
      </w:r>
      <w:proofErr w:type="spellEnd"/>
      <w:r w:rsidRPr="001B72C0">
        <w:rPr>
          <w:rFonts w:cs="Times New Roman"/>
          <w:i/>
        </w:rPr>
        <w:t xml:space="preserve"> of Tex.</w:t>
      </w:r>
      <w:r w:rsidRPr="001B72C0">
        <w:rPr>
          <w:rFonts w:cs="Times New Roman"/>
        </w:rPr>
        <w:t>, No.</w:t>
      </w:r>
      <w:proofErr w:type="gramEnd"/>
      <w:r w:rsidRPr="001B72C0">
        <w:rPr>
          <w:rFonts w:cs="Times New Roman"/>
        </w:rPr>
        <w:t xml:space="preserve"> D-1-</w:t>
      </w:r>
      <w:proofErr w:type="spellStart"/>
      <w:r w:rsidRPr="001B72C0">
        <w:rPr>
          <w:rFonts w:cs="Times New Roman"/>
        </w:rPr>
        <w:t>GN</w:t>
      </w:r>
      <w:proofErr w:type="spellEnd"/>
      <w:r w:rsidRPr="001B72C0">
        <w:rPr>
          <w:rFonts w:cs="Times New Roman"/>
        </w:rPr>
        <w:t>-17-0008</w:t>
      </w:r>
      <w:r>
        <w:rPr>
          <w:rFonts w:cs="Times New Roman"/>
        </w:rPr>
        <w:t xml:space="preserve">77 (Travis </w:t>
      </w:r>
      <w:proofErr w:type="spellStart"/>
      <w:r>
        <w:rPr>
          <w:rFonts w:cs="Times New Roman"/>
        </w:rPr>
        <w:t>Cty</w:t>
      </w:r>
      <w:proofErr w:type="spellEnd"/>
      <w:r>
        <w:rPr>
          <w:rFonts w:cs="Times New Roman"/>
        </w:rPr>
        <w:t>. Dist. Ct. Mar. 24</w:t>
      </w:r>
      <w:r w:rsidRPr="001B72C0">
        <w:rPr>
          <w:rFonts w:cs="Times New Roman"/>
        </w:rPr>
        <w:t>, 2017)</w:t>
      </w:r>
    </w:p>
    <w:p w14:paraId="2656B2F0" w14:textId="77777777" w:rsidR="00DB3679" w:rsidRDefault="00DB3679" w:rsidP="00DB3679">
      <w:pPr>
        <w:spacing w:after="0"/>
      </w:pPr>
    </w:p>
    <w:p w14:paraId="67F40154" w14:textId="671B5B68" w:rsidR="003074C5" w:rsidRDefault="00DB3679" w:rsidP="00DB3679">
      <w:pPr>
        <w:ind w:left="720" w:hanging="720"/>
      </w:pPr>
      <w:r>
        <w:t>4</w:t>
      </w:r>
      <w:r>
        <w:tab/>
      </w:r>
      <w:r w:rsidRPr="001B72C0">
        <w:rPr>
          <w:rFonts w:cs="Times New Roman"/>
        </w:rPr>
        <w:t xml:space="preserve">Order Abating Plaintiff’s Claim, </w:t>
      </w:r>
      <w:r w:rsidRPr="001B72C0">
        <w:rPr>
          <w:rFonts w:cs="Times New Roman"/>
          <w:i/>
        </w:rPr>
        <w:t xml:space="preserve">City of Austin v. Pub. </w:t>
      </w:r>
      <w:proofErr w:type="gramStart"/>
      <w:r w:rsidRPr="001B72C0">
        <w:rPr>
          <w:rFonts w:cs="Times New Roman"/>
          <w:i/>
        </w:rPr>
        <w:t xml:space="preserve">Util. </w:t>
      </w:r>
      <w:proofErr w:type="spellStart"/>
      <w:r w:rsidRPr="001B72C0">
        <w:rPr>
          <w:rFonts w:cs="Times New Roman"/>
          <w:i/>
        </w:rPr>
        <w:t>Comm’n</w:t>
      </w:r>
      <w:proofErr w:type="spellEnd"/>
      <w:r w:rsidRPr="001B72C0">
        <w:rPr>
          <w:rFonts w:cs="Times New Roman"/>
          <w:i/>
        </w:rPr>
        <w:t xml:space="preserve"> of Tex.</w:t>
      </w:r>
      <w:r w:rsidRPr="001B72C0">
        <w:rPr>
          <w:rFonts w:cs="Times New Roman"/>
        </w:rPr>
        <w:t>, No.</w:t>
      </w:r>
      <w:proofErr w:type="gramEnd"/>
      <w:r w:rsidRPr="001B72C0">
        <w:rPr>
          <w:rFonts w:cs="Times New Roman"/>
        </w:rPr>
        <w:t xml:space="preserve"> D-1-</w:t>
      </w:r>
      <w:proofErr w:type="spellStart"/>
      <w:r w:rsidRPr="001B72C0">
        <w:rPr>
          <w:rFonts w:cs="Times New Roman"/>
        </w:rPr>
        <w:t>GN</w:t>
      </w:r>
      <w:proofErr w:type="spellEnd"/>
      <w:r w:rsidRPr="001B72C0">
        <w:rPr>
          <w:rFonts w:cs="Times New Roman"/>
        </w:rPr>
        <w:t xml:space="preserve">-15-000513 (Travis </w:t>
      </w:r>
      <w:proofErr w:type="spellStart"/>
      <w:r w:rsidRPr="001B72C0">
        <w:rPr>
          <w:rFonts w:cs="Times New Roman"/>
        </w:rPr>
        <w:t>Cty</w:t>
      </w:r>
      <w:proofErr w:type="spellEnd"/>
      <w:r w:rsidRPr="001B72C0">
        <w:rPr>
          <w:rFonts w:cs="Times New Roman"/>
        </w:rPr>
        <w:t>. Dist. Ct. Sep. 9, 2015)</w:t>
      </w:r>
    </w:p>
    <w:p w14:paraId="346A1259" w14:textId="7B8CC0CB" w:rsidR="003074C5" w:rsidRDefault="003074C5" w:rsidP="00952B56">
      <w:pPr>
        <w:spacing w:after="0"/>
        <w:rPr>
          <w:rFonts w:cs="Times New Roman"/>
          <w:b/>
          <w:u w:val="single"/>
        </w:rPr>
      </w:pPr>
    </w:p>
    <w:p w14:paraId="644EA1BE" w14:textId="77777777" w:rsidR="003074C5" w:rsidRDefault="003074C5" w:rsidP="00952B56">
      <w:pPr>
        <w:spacing w:after="0"/>
        <w:rPr>
          <w:rFonts w:cs="Times New Roman"/>
          <w:b/>
          <w:u w:val="single"/>
        </w:rPr>
      </w:pPr>
    </w:p>
    <w:p w14:paraId="379FE5D1" w14:textId="77777777" w:rsidR="003074C5" w:rsidRDefault="003074C5" w:rsidP="00952B56">
      <w:pPr>
        <w:spacing w:after="0"/>
        <w:rPr>
          <w:rFonts w:cs="Times New Roman"/>
          <w:b/>
          <w:u w:val="single"/>
        </w:rPr>
      </w:pPr>
    </w:p>
    <w:p w14:paraId="3CA57F95" w14:textId="77777777" w:rsidR="003074C5" w:rsidRDefault="003074C5" w:rsidP="00952B56">
      <w:pPr>
        <w:spacing w:after="0"/>
        <w:rPr>
          <w:rFonts w:cs="Times New Roman"/>
          <w:b/>
          <w:u w:val="single"/>
        </w:rPr>
      </w:pPr>
    </w:p>
    <w:p w14:paraId="341C425C" w14:textId="77777777" w:rsidR="003074C5" w:rsidRDefault="003074C5" w:rsidP="00952B56">
      <w:pPr>
        <w:spacing w:after="0"/>
        <w:rPr>
          <w:rFonts w:cs="Times New Roman"/>
          <w:b/>
          <w:u w:val="single"/>
        </w:rPr>
      </w:pPr>
    </w:p>
    <w:p w14:paraId="17DCE427" w14:textId="77777777" w:rsidR="003074C5" w:rsidRDefault="003074C5" w:rsidP="00952B56">
      <w:pPr>
        <w:spacing w:after="0"/>
        <w:rPr>
          <w:rFonts w:cs="Times New Roman"/>
          <w:b/>
          <w:u w:val="single"/>
        </w:rPr>
        <w:sectPr w:rsidR="003074C5" w:rsidSect="00962110">
          <w:footerReference w:type="default" r:id="rId9"/>
          <w:pgSz w:w="12240" w:h="15840"/>
          <w:pgMar w:top="1440" w:right="1440" w:bottom="1440" w:left="1440" w:header="720" w:footer="720" w:gutter="0"/>
          <w:pgNumType w:fmt="lowerRoman" w:start="1"/>
          <w:cols w:space="720"/>
          <w:docGrid w:linePitch="360"/>
        </w:sectPr>
      </w:pPr>
    </w:p>
    <w:p w14:paraId="724278D5" w14:textId="77777777" w:rsidR="00C83DC9" w:rsidRPr="00B512E8" w:rsidRDefault="00C83DC9" w:rsidP="00C83DC9">
      <w:pPr>
        <w:jc w:val="center"/>
        <w:rPr>
          <w:b/>
        </w:rPr>
      </w:pPr>
      <w:proofErr w:type="gramStart"/>
      <w:r>
        <w:rPr>
          <w:b/>
        </w:rPr>
        <w:lastRenderedPageBreak/>
        <w:t>PUC</w:t>
      </w:r>
      <w:r w:rsidRPr="00B512E8">
        <w:rPr>
          <w:b/>
        </w:rPr>
        <w:t xml:space="preserve"> DOCKET NO.</w:t>
      </w:r>
      <w:proofErr w:type="gramEnd"/>
      <w:r>
        <w:rPr>
          <w:b/>
        </w:rPr>
        <w:t xml:space="preserve"> 46662</w:t>
      </w:r>
    </w:p>
    <w:tbl>
      <w:tblPr>
        <w:tblStyle w:val="TableGrid"/>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68"/>
        <w:gridCol w:w="1710"/>
        <w:gridCol w:w="3870"/>
      </w:tblGrid>
      <w:tr w:rsidR="00C83DC9" w14:paraId="12E54D4B" w14:textId="77777777" w:rsidTr="003B7EB2">
        <w:tc>
          <w:tcPr>
            <w:tcW w:w="4068" w:type="dxa"/>
          </w:tcPr>
          <w:p w14:paraId="7B226ED3" w14:textId="77777777" w:rsidR="00C83DC9" w:rsidRDefault="00C83DC9" w:rsidP="003B7EB2">
            <w:pPr>
              <w:jc w:val="left"/>
              <w:rPr>
                <w:b/>
              </w:rPr>
            </w:pPr>
            <w:r>
              <w:rPr>
                <w:b/>
              </w:rPr>
              <w:t>PETITION OF THE CITIES OF</w:t>
            </w:r>
          </w:p>
        </w:tc>
        <w:tc>
          <w:tcPr>
            <w:tcW w:w="1710" w:type="dxa"/>
          </w:tcPr>
          <w:p w14:paraId="7302809F" w14:textId="77777777" w:rsidR="00C83DC9" w:rsidRDefault="00C83DC9" w:rsidP="003B7EB2">
            <w:pPr>
              <w:jc w:val="center"/>
              <w:rPr>
                <w:b/>
              </w:rPr>
            </w:pPr>
            <w:r>
              <w:rPr>
                <w:b/>
              </w:rPr>
              <w:t>§</w:t>
            </w:r>
          </w:p>
        </w:tc>
        <w:tc>
          <w:tcPr>
            <w:tcW w:w="3870" w:type="dxa"/>
          </w:tcPr>
          <w:p w14:paraId="420D4A39" w14:textId="77777777" w:rsidR="00C83DC9" w:rsidRDefault="00C83DC9" w:rsidP="003B7EB2">
            <w:pPr>
              <w:jc w:val="center"/>
              <w:rPr>
                <w:b/>
              </w:rPr>
            </w:pPr>
          </w:p>
        </w:tc>
      </w:tr>
      <w:tr w:rsidR="00C83DC9" w14:paraId="31FB127E" w14:textId="77777777" w:rsidTr="003B7EB2">
        <w:tc>
          <w:tcPr>
            <w:tcW w:w="4068" w:type="dxa"/>
          </w:tcPr>
          <w:p w14:paraId="01D2EEE5" w14:textId="77777777" w:rsidR="00C83DC9" w:rsidRDefault="00C83DC9" w:rsidP="003B7EB2">
            <w:pPr>
              <w:jc w:val="left"/>
              <w:rPr>
                <w:b/>
              </w:rPr>
            </w:pPr>
            <w:r>
              <w:rPr>
                <w:b/>
              </w:rPr>
              <w:t xml:space="preserve">GARLAND, MESQUITE, PLANO,  AND RICHARDSON APPEALING                </w:t>
            </w:r>
          </w:p>
        </w:tc>
        <w:tc>
          <w:tcPr>
            <w:tcW w:w="1710" w:type="dxa"/>
          </w:tcPr>
          <w:p w14:paraId="142386F5" w14:textId="77777777" w:rsidR="00C83DC9" w:rsidRDefault="00C83DC9" w:rsidP="003B7EB2">
            <w:pPr>
              <w:jc w:val="center"/>
              <w:rPr>
                <w:b/>
              </w:rPr>
            </w:pPr>
            <w:r>
              <w:rPr>
                <w:b/>
              </w:rPr>
              <w:t>§</w:t>
            </w:r>
          </w:p>
          <w:p w14:paraId="31FD2E96" w14:textId="77777777" w:rsidR="00C83DC9" w:rsidRDefault="00C83DC9" w:rsidP="003B7EB2">
            <w:pPr>
              <w:jc w:val="center"/>
              <w:rPr>
                <w:b/>
              </w:rPr>
            </w:pPr>
            <w:r>
              <w:rPr>
                <w:b/>
              </w:rPr>
              <w:t>§</w:t>
            </w:r>
          </w:p>
        </w:tc>
        <w:tc>
          <w:tcPr>
            <w:tcW w:w="3870" w:type="dxa"/>
          </w:tcPr>
          <w:p w14:paraId="58F10935" w14:textId="77777777" w:rsidR="00C83DC9" w:rsidRDefault="00C83DC9" w:rsidP="003B7EB2">
            <w:pPr>
              <w:jc w:val="left"/>
              <w:rPr>
                <w:b/>
              </w:rPr>
            </w:pPr>
            <w:r>
              <w:rPr>
                <w:b/>
              </w:rPr>
              <w:t xml:space="preserve">        PUBLIC UTILITY</w:t>
            </w:r>
          </w:p>
        </w:tc>
      </w:tr>
      <w:tr w:rsidR="00C83DC9" w14:paraId="3E78DD0D" w14:textId="77777777" w:rsidTr="003B7EB2">
        <w:tc>
          <w:tcPr>
            <w:tcW w:w="4068" w:type="dxa"/>
          </w:tcPr>
          <w:p w14:paraId="08013642" w14:textId="77777777" w:rsidR="00C83DC9" w:rsidRDefault="00C83DC9" w:rsidP="003B7EB2">
            <w:pPr>
              <w:jc w:val="left"/>
              <w:rPr>
                <w:b/>
              </w:rPr>
            </w:pPr>
            <w:r>
              <w:rPr>
                <w:b/>
              </w:rPr>
              <w:t>THE DECISION BY NORTH TEXAS MUNICIPAL WATER DISTRICT AFFECTING WHOLESALE WATER RATES</w:t>
            </w:r>
          </w:p>
        </w:tc>
        <w:tc>
          <w:tcPr>
            <w:tcW w:w="1710" w:type="dxa"/>
          </w:tcPr>
          <w:p w14:paraId="318B2438" w14:textId="77777777" w:rsidR="00C83DC9" w:rsidRDefault="00C83DC9" w:rsidP="003B7EB2">
            <w:pPr>
              <w:jc w:val="center"/>
              <w:rPr>
                <w:b/>
              </w:rPr>
            </w:pPr>
            <w:r>
              <w:rPr>
                <w:b/>
              </w:rPr>
              <w:t>§</w:t>
            </w:r>
          </w:p>
          <w:p w14:paraId="41F9528F" w14:textId="77777777" w:rsidR="00C83DC9" w:rsidRDefault="00C83DC9" w:rsidP="003B7EB2">
            <w:pPr>
              <w:jc w:val="center"/>
              <w:rPr>
                <w:b/>
              </w:rPr>
            </w:pPr>
            <w:r>
              <w:rPr>
                <w:b/>
              </w:rPr>
              <w:t>§</w:t>
            </w:r>
          </w:p>
          <w:p w14:paraId="14E1061A" w14:textId="77777777" w:rsidR="00C83DC9" w:rsidRDefault="00C83DC9" w:rsidP="003B7EB2">
            <w:pPr>
              <w:jc w:val="center"/>
              <w:rPr>
                <w:b/>
              </w:rPr>
            </w:pPr>
            <w:r>
              <w:rPr>
                <w:b/>
              </w:rPr>
              <w:t>§</w:t>
            </w:r>
          </w:p>
          <w:p w14:paraId="17B3D83B" w14:textId="77777777" w:rsidR="00C83DC9" w:rsidRDefault="00C83DC9" w:rsidP="003B7EB2">
            <w:pPr>
              <w:jc w:val="center"/>
              <w:rPr>
                <w:b/>
              </w:rPr>
            </w:pPr>
            <w:r>
              <w:rPr>
                <w:b/>
              </w:rPr>
              <w:t>§</w:t>
            </w:r>
          </w:p>
        </w:tc>
        <w:tc>
          <w:tcPr>
            <w:tcW w:w="3870" w:type="dxa"/>
          </w:tcPr>
          <w:p w14:paraId="697B1F88" w14:textId="77777777" w:rsidR="00C83DC9" w:rsidRDefault="00C83DC9" w:rsidP="003B7EB2">
            <w:pPr>
              <w:jc w:val="left"/>
              <w:rPr>
                <w:b/>
              </w:rPr>
            </w:pPr>
            <w:r>
              <w:rPr>
                <w:b/>
              </w:rPr>
              <w:t xml:space="preserve">      </w:t>
            </w:r>
          </w:p>
          <w:p w14:paraId="337584EA" w14:textId="77777777" w:rsidR="00C83DC9" w:rsidRDefault="00C83DC9" w:rsidP="003B7EB2">
            <w:pPr>
              <w:jc w:val="left"/>
              <w:rPr>
                <w:b/>
              </w:rPr>
            </w:pPr>
            <w:r>
              <w:rPr>
                <w:b/>
              </w:rPr>
              <w:t>COMMISSION OF TEXAS</w:t>
            </w:r>
          </w:p>
        </w:tc>
      </w:tr>
    </w:tbl>
    <w:p w14:paraId="3DC4FF9C" w14:textId="77777777" w:rsidR="00C83DC9" w:rsidRDefault="00C83DC9" w:rsidP="00C83DC9"/>
    <w:p w14:paraId="498ECCE0" w14:textId="77777777" w:rsidR="00C83DC9" w:rsidRDefault="00C83DC9" w:rsidP="00C83DC9">
      <w:pPr>
        <w:spacing w:after="0"/>
        <w:jc w:val="center"/>
        <w:rPr>
          <w:rFonts w:cs="Times New Roman"/>
          <w:b/>
        </w:rPr>
      </w:pPr>
      <w:r w:rsidRPr="00C57A2A">
        <w:rPr>
          <w:rFonts w:cs="Times New Roman"/>
          <w:b/>
        </w:rPr>
        <w:t xml:space="preserve">PETITIONERS’ </w:t>
      </w:r>
      <w:r w:rsidRPr="00446929">
        <w:rPr>
          <w:rFonts w:cs="Times New Roman"/>
          <w:b/>
        </w:rPr>
        <w:t>REQUEST FOR COMMISSION TO CONDUCT HEARING ON THE MERITS AND</w:t>
      </w:r>
      <w:r>
        <w:rPr>
          <w:rFonts w:cs="Times New Roman"/>
          <w:b/>
        </w:rPr>
        <w:t xml:space="preserve"> </w:t>
      </w:r>
      <w:r w:rsidRPr="00C57A2A">
        <w:rPr>
          <w:rFonts w:cs="Times New Roman"/>
          <w:b/>
        </w:rPr>
        <w:t xml:space="preserve">RESPONSE </w:t>
      </w:r>
      <w:r w:rsidRPr="00E4601E">
        <w:rPr>
          <w:rFonts w:cs="Times New Roman"/>
          <w:b/>
        </w:rPr>
        <w:t xml:space="preserve">TO </w:t>
      </w:r>
      <w:r>
        <w:rPr>
          <w:rFonts w:cs="Times New Roman"/>
          <w:b/>
        </w:rPr>
        <w:t>DISTRICT’S RE-URGED</w:t>
      </w:r>
    </w:p>
    <w:p w14:paraId="065698FA" w14:textId="77777777" w:rsidR="00C83DC9" w:rsidRPr="00571979" w:rsidRDefault="00C83DC9" w:rsidP="00C83DC9">
      <w:pPr>
        <w:spacing w:after="0"/>
        <w:jc w:val="center"/>
        <w:rPr>
          <w:rFonts w:cs="Times New Roman"/>
          <w:b/>
          <w:u w:val="single"/>
        </w:rPr>
      </w:pPr>
      <w:r w:rsidRPr="00571979">
        <w:rPr>
          <w:rFonts w:cs="Times New Roman"/>
          <w:b/>
          <w:u w:val="single"/>
        </w:rPr>
        <w:t xml:space="preserve">MOTION TO DISMISS AND, IN THE ALTERNATIVE, MOTION TO ABATE </w:t>
      </w:r>
    </w:p>
    <w:p w14:paraId="43375C01" w14:textId="77777777" w:rsidR="00C83DC9" w:rsidRDefault="00C83DC9" w:rsidP="00C83DC9">
      <w:pPr>
        <w:pStyle w:val="TBCTitleBoldCenter"/>
      </w:pPr>
    </w:p>
    <w:p w14:paraId="414A45FD" w14:textId="6F9907BA" w:rsidR="00446929" w:rsidRDefault="00446929" w:rsidP="00C83DC9">
      <w:pPr>
        <w:pStyle w:val="BTFIBodyTextFirstIndent"/>
        <w:ind w:firstLine="0"/>
      </w:pPr>
      <w:r>
        <w:t xml:space="preserve">TO THE HONORABLE CHAIRMAN AND COMMISSIONERS OF THE PUBLIC UTILITY COMMISSION OF TEXAS AND THE HONORABLE IRENE </w:t>
      </w:r>
      <w:proofErr w:type="spellStart"/>
      <w:r>
        <w:t>MONTELONGO</w:t>
      </w:r>
      <w:proofErr w:type="spellEnd"/>
      <w:r>
        <w:t>:</w:t>
      </w:r>
    </w:p>
    <w:p w14:paraId="41BEA96B" w14:textId="596F14AB" w:rsidR="00DA58E9" w:rsidRDefault="00F51F91" w:rsidP="003074C5">
      <w:pPr>
        <w:pStyle w:val="BTDFLBodyTextDoubleFLI"/>
      </w:pPr>
      <w:r w:rsidRPr="00C57A2A">
        <w:t xml:space="preserve">The Cities of Garland, Mesquite, Plano and Richardson </w:t>
      </w:r>
      <w:r w:rsidR="0020276F" w:rsidRPr="00C57A2A">
        <w:t xml:space="preserve">(“Petitioners”) hereby </w:t>
      </w:r>
      <w:r w:rsidR="00E55881">
        <w:t xml:space="preserve">respectfully request that the Commissioners conduct the </w:t>
      </w:r>
      <w:r w:rsidR="00EF7B8A">
        <w:t xml:space="preserve">public interest </w:t>
      </w:r>
      <w:r w:rsidR="00E55881">
        <w:t xml:space="preserve">hearing on the merits in this proceeding. </w:t>
      </w:r>
      <w:r w:rsidR="00603C2F">
        <w:t xml:space="preserve"> </w:t>
      </w:r>
      <w:r w:rsidR="00E55881">
        <w:t xml:space="preserve">In addition, Petitioners </w:t>
      </w:r>
      <w:r w:rsidR="0020276F" w:rsidRPr="00C57A2A">
        <w:t>respond</w:t>
      </w:r>
      <w:r w:rsidRPr="00C57A2A">
        <w:t xml:space="preserve"> to the North Texas Municipal Water District’s (“District”) </w:t>
      </w:r>
      <w:r w:rsidR="00E4601E">
        <w:t xml:space="preserve">Re-Urged </w:t>
      </w:r>
      <w:r w:rsidRPr="00C57A2A">
        <w:t xml:space="preserve">Motion to </w:t>
      </w:r>
      <w:r w:rsidR="00E4601E">
        <w:t xml:space="preserve">Dismiss </w:t>
      </w:r>
      <w:r w:rsidR="00952B56">
        <w:t>and</w:t>
      </w:r>
      <w:r w:rsidR="00E4601E">
        <w:t>, in the Alternative, Motion to Abate</w:t>
      </w:r>
      <w:r w:rsidRPr="00C57A2A">
        <w:t>.</w:t>
      </w:r>
      <w:r w:rsidR="0075145B" w:rsidRPr="00C57A2A">
        <w:rPr>
          <w:rStyle w:val="FootnoteReference"/>
          <w:rFonts w:cs="Times New Roman"/>
        </w:rPr>
        <w:footnoteReference w:id="1"/>
      </w:r>
      <w:r w:rsidRPr="00C57A2A">
        <w:t xml:space="preserve">  </w:t>
      </w:r>
      <w:r w:rsidR="003206EE" w:rsidRPr="00C57A2A">
        <w:t xml:space="preserve">Petitioners respectfully request that the </w:t>
      </w:r>
      <w:r w:rsidR="00E55881">
        <w:t xml:space="preserve">District’s </w:t>
      </w:r>
      <w:r w:rsidR="003206EE" w:rsidRPr="00C57A2A">
        <w:t>motion</w:t>
      </w:r>
      <w:r w:rsidR="00E4601E">
        <w:t>s be denied</w:t>
      </w:r>
      <w:r w:rsidR="000F4F89">
        <w:t xml:space="preserve"> and that the presiding officer establish a procedural schedule leading to a hearing on the merits</w:t>
      </w:r>
      <w:r w:rsidR="00BA7276">
        <w:t xml:space="preserve"> before the Commission</w:t>
      </w:r>
      <w:r w:rsidR="00000D7E">
        <w:t xml:space="preserve"> instead of</w:t>
      </w:r>
      <w:r w:rsidR="00571979">
        <w:t xml:space="preserve"> referring this matter to the State Office of Administrative Hearings (“</w:t>
      </w:r>
      <w:proofErr w:type="spellStart"/>
      <w:r w:rsidR="00571979">
        <w:t>SOAH</w:t>
      </w:r>
      <w:proofErr w:type="spellEnd"/>
      <w:r w:rsidR="00571979">
        <w:t>”)</w:t>
      </w:r>
      <w:r w:rsidR="006A1A45">
        <w:t xml:space="preserve">.  </w:t>
      </w:r>
    </w:p>
    <w:p w14:paraId="22B9A338" w14:textId="6F9255D5" w:rsidR="00F51F91" w:rsidRPr="00C57A2A" w:rsidRDefault="00F51F91" w:rsidP="003074C5">
      <w:pPr>
        <w:pStyle w:val="BTDFLBodyTextDoubleFLI"/>
        <w:rPr>
          <w:b/>
        </w:rPr>
      </w:pPr>
      <w:r w:rsidRPr="00C57A2A">
        <w:t>In support, Petitioners respectfully show as follows:</w:t>
      </w:r>
      <w:r w:rsidR="00986797">
        <w:t xml:space="preserve"> </w:t>
      </w:r>
    </w:p>
    <w:p w14:paraId="46B76E97" w14:textId="7C4DE050" w:rsidR="00F51F91" w:rsidRPr="00C57A2A" w:rsidRDefault="0075145B" w:rsidP="003074C5">
      <w:pPr>
        <w:pStyle w:val="Heading1"/>
      </w:pPr>
      <w:bookmarkStart w:id="1" w:name="_Toc479331208"/>
      <w:r w:rsidRPr="00C57A2A">
        <w:t>EXECUTIVE SUMMARY</w:t>
      </w:r>
      <w:bookmarkEnd w:id="1"/>
    </w:p>
    <w:p w14:paraId="1A837AB8" w14:textId="40D78B26" w:rsidR="00E55881" w:rsidRDefault="00E55881" w:rsidP="003074C5">
      <w:pPr>
        <w:pStyle w:val="BTDFLBodyTextDoubleFLI"/>
      </w:pPr>
      <w:r>
        <w:t xml:space="preserve">This </w:t>
      </w:r>
      <w:r w:rsidR="00952B56">
        <w:t xml:space="preserve">proceeding is a </w:t>
      </w:r>
      <w:r>
        <w:t xml:space="preserve">rate appeal under </w:t>
      </w:r>
      <w:r w:rsidR="00952B56">
        <w:t xml:space="preserve">Section 13.043(f) of the </w:t>
      </w:r>
      <w:r>
        <w:t>Texas Water Code</w:t>
      </w:r>
      <w:r w:rsidR="00EF7B8A">
        <w:t>.  Petitioners seek a determination that</w:t>
      </w:r>
      <w:r>
        <w:t xml:space="preserve"> wholesale water rates set </w:t>
      </w:r>
      <w:r w:rsidR="00F27D9E">
        <w:t xml:space="preserve">by the District </w:t>
      </w:r>
      <w:r>
        <w:t xml:space="preserve">pursuant to </w:t>
      </w:r>
      <w:r w:rsidR="00BB0434">
        <w:t>the C</w:t>
      </w:r>
      <w:r>
        <w:t>ontract</w:t>
      </w:r>
      <w:r w:rsidR="00BB0434" w:rsidRPr="00BB0434">
        <w:rPr>
          <w:vertAlign w:val="superscript"/>
        </w:rPr>
        <w:footnoteReference w:id="2"/>
      </w:r>
      <w:r>
        <w:t xml:space="preserve"> </w:t>
      </w:r>
      <w:r w:rsidR="00000D7E">
        <w:t>with</w:t>
      </w:r>
      <w:r>
        <w:t xml:space="preserve"> Petitioners adversely affect the public interest.  </w:t>
      </w:r>
      <w:r w:rsidR="006E2FA5">
        <w:t xml:space="preserve">Given the important </w:t>
      </w:r>
      <w:r w:rsidR="007C525C">
        <w:t xml:space="preserve">regulatory </w:t>
      </w:r>
      <w:r w:rsidR="006E2FA5">
        <w:t xml:space="preserve">policy considerations inherent in determining whether the </w:t>
      </w:r>
      <w:r w:rsidR="00BB0434">
        <w:t>rates are</w:t>
      </w:r>
      <w:r w:rsidR="006E2FA5">
        <w:t xml:space="preserve"> adverse to the public interest and the </w:t>
      </w:r>
      <w:r w:rsidR="00000D7E">
        <w:t xml:space="preserve">extended </w:t>
      </w:r>
      <w:r w:rsidR="006E2FA5">
        <w:t xml:space="preserve">timeframe </w:t>
      </w:r>
      <w:r w:rsidR="00000D7E">
        <w:t xml:space="preserve">required </w:t>
      </w:r>
      <w:proofErr w:type="gramStart"/>
      <w:r w:rsidR="00000D7E">
        <w:t>to</w:t>
      </w:r>
      <w:r w:rsidR="006E2FA5">
        <w:t xml:space="preserve"> </w:t>
      </w:r>
      <w:r w:rsidR="00603C2F">
        <w:t>adj</w:t>
      </w:r>
      <w:r w:rsidR="00EF7B8A">
        <w:t>udicat</w:t>
      </w:r>
      <w:r w:rsidR="00000D7E">
        <w:t>e</w:t>
      </w:r>
      <w:proofErr w:type="gramEnd"/>
      <w:r w:rsidR="00EF7B8A">
        <w:t xml:space="preserve"> </w:t>
      </w:r>
      <w:r w:rsidR="006E2FA5">
        <w:t xml:space="preserve">a </w:t>
      </w:r>
      <w:r w:rsidR="00EF7B8A">
        <w:t xml:space="preserve">wholesale water rate </w:t>
      </w:r>
      <w:r w:rsidR="006E2FA5">
        <w:t>appeal</w:t>
      </w:r>
      <w:r w:rsidR="00000D7E">
        <w:t xml:space="preserve"> at </w:t>
      </w:r>
      <w:proofErr w:type="spellStart"/>
      <w:r w:rsidR="00000D7E">
        <w:t>SOAH</w:t>
      </w:r>
      <w:proofErr w:type="spellEnd"/>
      <w:r w:rsidR="006E2FA5">
        <w:t xml:space="preserve">, </w:t>
      </w:r>
      <w:r w:rsidR="006E2FA5">
        <w:lastRenderedPageBreak/>
        <w:t xml:space="preserve">Petitioners respectfully request that the Commission preside over the </w:t>
      </w:r>
      <w:r w:rsidR="00EF7B8A">
        <w:t xml:space="preserve">public interest </w:t>
      </w:r>
      <w:r w:rsidR="006E2FA5">
        <w:t>hearing on the merits in this docket.</w:t>
      </w:r>
    </w:p>
    <w:p w14:paraId="28BDF33B" w14:textId="2801F66A" w:rsidR="00D23816" w:rsidRPr="00C57A2A" w:rsidRDefault="00EF7B8A" w:rsidP="003074C5">
      <w:pPr>
        <w:pStyle w:val="BTDFLBodyTextDoubleFLI"/>
      </w:pPr>
      <w:r>
        <w:t>Petitioners filed th</w:t>
      </w:r>
      <w:r w:rsidR="00BB0434">
        <w:t>is</w:t>
      </w:r>
      <w:r>
        <w:t xml:space="preserve"> </w:t>
      </w:r>
      <w:r w:rsidR="00000D7E">
        <w:t>rate appeal</w:t>
      </w:r>
      <w:r>
        <w:t xml:space="preserve"> </w:t>
      </w:r>
      <w:r w:rsidR="006E2FA5">
        <w:t xml:space="preserve">on December 14, 2016.  Since that time, the District has filed multiple pleadings in multiple forums </w:t>
      </w:r>
      <w:r w:rsidR="00BB0434">
        <w:t xml:space="preserve">in an </w:t>
      </w:r>
      <w:r w:rsidR="006E2FA5">
        <w:t xml:space="preserve">attempt to stop the Commission from considering </w:t>
      </w:r>
      <w:r w:rsidR="00000D7E">
        <w:t xml:space="preserve">the </w:t>
      </w:r>
      <w:r w:rsidR="006E2FA5">
        <w:t xml:space="preserve">rate appeal.  </w:t>
      </w:r>
      <w:r w:rsidR="00D23816" w:rsidRPr="00C57A2A">
        <w:t xml:space="preserve">The District’s jurisdictional argument in </w:t>
      </w:r>
      <w:r w:rsidR="006A1A45">
        <w:t>the</w:t>
      </w:r>
      <w:r w:rsidR="00D23816" w:rsidRPr="00C57A2A">
        <w:t xml:space="preserve"> state district court proceedings and these administrative proceedings</w:t>
      </w:r>
      <w:r w:rsidR="00E22A78">
        <w:t xml:space="preserve">—that Petitioners are challenging the </w:t>
      </w:r>
      <w:r w:rsidR="006B2BBA">
        <w:t>C</w:t>
      </w:r>
      <w:r w:rsidR="00E22A78">
        <w:t xml:space="preserve">ontract, that </w:t>
      </w:r>
      <w:r w:rsidR="00B205D7">
        <w:t xml:space="preserve">the </w:t>
      </w:r>
      <w:r w:rsidR="006B2BBA">
        <w:t>C</w:t>
      </w:r>
      <w:r w:rsidR="00E22A78">
        <w:t>ont</w:t>
      </w:r>
      <w:r w:rsidR="006A1A45">
        <w:t>r</w:t>
      </w:r>
      <w:r w:rsidR="00E22A78">
        <w:t xml:space="preserve">act is </w:t>
      </w:r>
      <w:r w:rsidR="006E2FA5">
        <w:t>“</w:t>
      </w:r>
      <w:r w:rsidR="00E22A78">
        <w:t>incontestable,</w:t>
      </w:r>
      <w:r w:rsidR="006E2FA5">
        <w:t>”</w:t>
      </w:r>
      <w:r w:rsidR="00E22A78">
        <w:t xml:space="preserve"> and</w:t>
      </w:r>
      <w:r w:rsidR="00000D7E">
        <w:t xml:space="preserve"> that</w:t>
      </w:r>
      <w:r w:rsidR="00E22A78">
        <w:t xml:space="preserve"> </w:t>
      </w:r>
      <w:r>
        <w:t>th</w:t>
      </w:r>
      <w:r w:rsidR="00E22A78">
        <w:t xml:space="preserve">e Commission </w:t>
      </w:r>
      <w:r w:rsidR="00000D7E">
        <w:t xml:space="preserve">therefore </w:t>
      </w:r>
      <w:r w:rsidR="00E22A78">
        <w:t>lacks jurisdiction</w:t>
      </w:r>
      <w:r w:rsidR="006A1A45">
        <w:t xml:space="preserve"> to review rates set </w:t>
      </w:r>
      <w:r w:rsidR="00276A82">
        <w:t xml:space="preserve">by the District </w:t>
      </w:r>
      <w:r w:rsidR="006A1A45">
        <w:t xml:space="preserve">pursuant to the </w:t>
      </w:r>
      <w:r w:rsidR="006B2BBA">
        <w:t>C</w:t>
      </w:r>
      <w:r w:rsidR="006A1A45">
        <w:t>ontract</w:t>
      </w:r>
      <w:r w:rsidR="00E22A78">
        <w:t>—</w:t>
      </w:r>
      <w:r w:rsidR="00D23816" w:rsidRPr="00C57A2A">
        <w:t xml:space="preserve">is based on the </w:t>
      </w:r>
      <w:r w:rsidR="00B205D7">
        <w:t>District’s incorrect position</w:t>
      </w:r>
      <w:r w:rsidR="00B205D7" w:rsidRPr="00C57A2A">
        <w:t xml:space="preserve"> </w:t>
      </w:r>
      <w:r w:rsidR="00D23816" w:rsidRPr="00C57A2A">
        <w:t>that appealing rate</w:t>
      </w:r>
      <w:r w:rsidR="00000D7E">
        <w:t>s</w:t>
      </w:r>
      <w:r w:rsidR="00D23816" w:rsidRPr="00C57A2A">
        <w:t xml:space="preserve"> set pursuant to a contract is </w:t>
      </w:r>
      <w:r w:rsidR="006B2BBA">
        <w:t xml:space="preserve">a </w:t>
      </w:r>
      <w:r w:rsidR="00D23816" w:rsidRPr="00C57A2A">
        <w:t>challeng</w:t>
      </w:r>
      <w:r w:rsidR="006B2BBA">
        <w:t>e</w:t>
      </w:r>
      <w:r w:rsidR="00D23816" w:rsidRPr="00C57A2A">
        <w:t xml:space="preserve"> </w:t>
      </w:r>
      <w:r w:rsidR="006B2BBA">
        <w:t xml:space="preserve">to </w:t>
      </w:r>
      <w:r w:rsidR="00A57A81">
        <w:t>the contract itself.  Courts and</w:t>
      </w:r>
      <w:r w:rsidR="00D23816" w:rsidRPr="00C57A2A">
        <w:t xml:space="preserve"> administrative agencies, </w:t>
      </w:r>
      <w:r w:rsidR="00A57A81">
        <w:t>including the Commission, have rejected this argument</w:t>
      </w:r>
      <w:r w:rsidR="00D23816" w:rsidRPr="00C57A2A">
        <w:t xml:space="preserve">.  </w:t>
      </w:r>
    </w:p>
    <w:p w14:paraId="73BC19EC" w14:textId="1AA2D4EA" w:rsidR="004A6002" w:rsidRDefault="00D23816" w:rsidP="003074C5">
      <w:pPr>
        <w:pStyle w:val="BTDFLBodyTextDoubleFLI"/>
      </w:pPr>
      <w:r w:rsidRPr="00C57A2A">
        <w:t xml:space="preserve">The District’s </w:t>
      </w:r>
      <w:r w:rsidR="006B2BBA">
        <w:t>pursuit of</w:t>
      </w:r>
      <w:r w:rsidR="000F4F89" w:rsidRPr="00C57A2A">
        <w:t xml:space="preserve"> </w:t>
      </w:r>
      <w:r w:rsidRPr="00C57A2A">
        <w:t xml:space="preserve">this argument in multiple forums </w:t>
      </w:r>
      <w:r w:rsidR="006E2FA5">
        <w:t>provide</w:t>
      </w:r>
      <w:r w:rsidR="006B2BBA">
        <w:t>s</w:t>
      </w:r>
      <w:r w:rsidR="006E2FA5">
        <w:t xml:space="preserve"> no basis</w:t>
      </w:r>
      <w:r w:rsidRPr="00C57A2A">
        <w:t xml:space="preserve"> to </w:t>
      </w:r>
      <w:r w:rsidR="006E2FA5">
        <w:t xml:space="preserve">dismiss or </w:t>
      </w:r>
      <w:r w:rsidRPr="00C57A2A">
        <w:t>abate th</w:t>
      </w:r>
      <w:r w:rsidR="006A1A45">
        <w:t>ese administrative proceedings.</w:t>
      </w:r>
      <w:r w:rsidR="00E06493">
        <w:t xml:space="preserve"> </w:t>
      </w:r>
      <w:r w:rsidR="004A6002">
        <w:t xml:space="preserve"> </w:t>
      </w:r>
      <w:r w:rsidR="00EF7B8A">
        <w:t xml:space="preserve">Section 13.043(f) of the Texas </w:t>
      </w:r>
      <w:r w:rsidR="004A6002">
        <w:t xml:space="preserve">Water Code </w:t>
      </w:r>
      <w:r w:rsidR="00EF7B8A">
        <w:t xml:space="preserve">authorizes the </w:t>
      </w:r>
      <w:r w:rsidR="004A6002">
        <w:t xml:space="preserve">Commission to proceed with its public interest review of the </w:t>
      </w:r>
      <w:r w:rsidR="00000D7E">
        <w:t xml:space="preserve">appealed </w:t>
      </w:r>
      <w:r w:rsidR="004A6002">
        <w:t>rates</w:t>
      </w:r>
      <w:r w:rsidR="00EF7B8A">
        <w:t xml:space="preserve">.  </w:t>
      </w:r>
      <w:r w:rsidR="00BB0434" w:rsidRPr="00BB0434">
        <w:t xml:space="preserve">Travis County District Court Judge Karin Crump </w:t>
      </w:r>
      <w:r w:rsidRPr="00C57A2A">
        <w:t>dec</w:t>
      </w:r>
      <w:r w:rsidR="006A1A45">
        <w:t>lined to enjoin the Commission</w:t>
      </w:r>
      <w:r w:rsidR="00E06493">
        <w:t xml:space="preserve">. </w:t>
      </w:r>
      <w:r w:rsidR="006A1A45">
        <w:t xml:space="preserve"> </w:t>
      </w:r>
      <w:r w:rsidR="00E06493">
        <w:t>N</w:t>
      </w:r>
      <w:r w:rsidRPr="00C57A2A">
        <w:t xml:space="preserve">othing restrains the Commission from </w:t>
      </w:r>
      <w:r w:rsidR="0006266B">
        <w:t xml:space="preserve">immediately </w:t>
      </w:r>
      <w:r w:rsidRPr="00C57A2A">
        <w:t xml:space="preserve">exercising </w:t>
      </w:r>
      <w:r w:rsidR="00EB587F" w:rsidRPr="00C57A2A">
        <w:t xml:space="preserve">its </w:t>
      </w:r>
      <w:r w:rsidR="00A24339">
        <w:t xml:space="preserve">primary </w:t>
      </w:r>
      <w:r w:rsidR="00EB587F" w:rsidRPr="00C57A2A">
        <w:t>statutory</w:t>
      </w:r>
      <w:r w:rsidRPr="00C57A2A">
        <w:t xml:space="preserve"> jurisdiction to </w:t>
      </w:r>
      <w:r w:rsidR="00000D7E">
        <w:t>adjudicate the</w:t>
      </w:r>
      <w:r w:rsidRPr="00C57A2A">
        <w:t xml:space="preserve"> rate appeal.</w:t>
      </w:r>
      <w:r w:rsidR="00E06493">
        <w:t xml:space="preserve"> </w:t>
      </w:r>
      <w:r w:rsidR="000F4F89">
        <w:t xml:space="preserve"> </w:t>
      </w:r>
      <w:r w:rsidR="00FB4833">
        <w:t xml:space="preserve">Any different result would encourage </w:t>
      </w:r>
      <w:r w:rsidR="00EB48D5">
        <w:t>similar attempts to</w:t>
      </w:r>
      <w:r w:rsidR="00FB4833">
        <w:t xml:space="preserve"> delay future Commission proceedings.</w:t>
      </w:r>
    </w:p>
    <w:p w14:paraId="18B4D89A" w14:textId="151793C4" w:rsidR="00BE4226" w:rsidRPr="00C57A2A" w:rsidRDefault="00E06493" w:rsidP="003074C5">
      <w:pPr>
        <w:pStyle w:val="BTDFLBodyTextDoubleFLI"/>
      </w:pPr>
      <w:r>
        <w:t>Petitioners are appealing the</w:t>
      </w:r>
      <w:r w:rsidR="006B2BBA">
        <w:t xml:space="preserve"> water r</w:t>
      </w:r>
      <w:r>
        <w:t xml:space="preserve">ates </w:t>
      </w:r>
      <w:r w:rsidR="00276A82">
        <w:t>set</w:t>
      </w:r>
      <w:r w:rsidR="000F4F89">
        <w:t xml:space="preserve"> by the District</w:t>
      </w:r>
      <w:r w:rsidR="006B2BBA">
        <w:t xml:space="preserve"> for Fiscal Year 2017</w:t>
      </w:r>
      <w:r>
        <w:t>.  Delay</w:t>
      </w:r>
      <w:r w:rsidR="00EF7B8A">
        <w:t>ing the appeal</w:t>
      </w:r>
      <w:r>
        <w:t xml:space="preserve"> is costly not only to Petitioners, but </w:t>
      </w:r>
      <w:r w:rsidR="009D4BBC">
        <w:t xml:space="preserve">also </w:t>
      </w:r>
      <w:r>
        <w:t xml:space="preserve">to the </w:t>
      </w:r>
      <w:r w:rsidR="00000D7E">
        <w:t xml:space="preserve">Petitioners’ </w:t>
      </w:r>
      <w:r w:rsidR="009D4BBC">
        <w:t>retail consumers</w:t>
      </w:r>
      <w:r>
        <w:t xml:space="preserve">. </w:t>
      </w:r>
      <w:r w:rsidR="009D4BBC">
        <w:t xml:space="preserve"> </w:t>
      </w:r>
      <w:r w:rsidR="000F4F89">
        <w:t>Moreover, given</w:t>
      </w:r>
      <w:r w:rsidR="00FF3E41">
        <w:t xml:space="preserve"> </w:t>
      </w:r>
      <w:r w:rsidR="000D2D0D">
        <w:t>the District’s expectation that water rates will annually increase by 10%,</w:t>
      </w:r>
      <w:r w:rsidR="000D2D0D">
        <w:rPr>
          <w:rStyle w:val="FootnoteReference"/>
          <w:rFonts w:cs="Times New Roman"/>
        </w:rPr>
        <w:footnoteReference w:id="3"/>
      </w:r>
      <w:r w:rsidR="000D2D0D">
        <w:t xml:space="preserve"> </w:t>
      </w:r>
      <w:r w:rsidR="00FF3E41">
        <w:t xml:space="preserve">that the District has raised base water rates by </w:t>
      </w:r>
      <w:r w:rsidR="000D2D0D">
        <w:t>nearly 70%</w:t>
      </w:r>
      <w:r w:rsidR="00FF3E41">
        <w:t xml:space="preserve"> since Fiscal Year 2012</w:t>
      </w:r>
      <w:r w:rsidR="000D2D0D">
        <w:t>,</w:t>
      </w:r>
      <w:r w:rsidR="00FF3E41">
        <w:rPr>
          <w:rStyle w:val="FootnoteReference"/>
          <w:rFonts w:cs="Times New Roman"/>
        </w:rPr>
        <w:footnoteReference w:id="4"/>
      </w:r>
      <w:r w:rsidR="00FF3E41">
        <w:t xml:space="preserve"> </w:t>
      </w:r>
      <w:r w:rsidR="000D2D0D">
        <w:t xml:space="preserve">and </w:t>
      </w:r>
      <w:r w:rsidR="000F4F89">
        <w:t xml:space="preserve">the potential for a series of </w:t>
      </w:r>
      <w:r w:rsidR="003B43BE">
        <w:t xml:space="preserve">“stacked” </w:t>
      </w:r>
      <w:r w:rsidR="000F4F89">
        <w:t xml:space="preserve">annual rate appeals until </w:t>
      </w:r>
      <w:r w:rsidR="00000D7E">
        <w:t xml:space="preserve">the Commission establishes </w:t>
      </w:r>
      <w:r w:rsidR="000F4F89">
        <w:t xml:space="preserve">just and reasonable rates, it is in the public interest </w:t>
      </w:r>
      <w:r w:rsidR="00D14050">
        <w:t xml:space="preserve">for </w:t>
      </w:r>
      <w:r w:rsidR="003B43BE">
        <w:t xml:space="preserve">the Commission </w:t>
      </w:r>
      <w:r w:rsidR="00D14050">
        <w:t xml:space="preserve">to </w:t>
      </w:r>
      <w:r w:rsidR="003B43BE">
        <w:t xml:space="preserve">process </w:t>
      </w:r>
      <w:r w:rsidR="000F4F89">
        <w:t>this docket in a timely manner.</w:t>
      </w:r>
      <w:r w:rsidR="000F48A6">
        <w:t xml:space="preserve">  Petitioners request that the </w:t>
      </w:r>
      <w:r w:rsidR="00B6473D">
        <w:t>presiding officer</w:t>
      </w:r>
      <w:r w:rsidR="000F48A6">
        <w:t xml:space="preserve"> acknowledge</w:t>
      </w:r>
      <w:r w:rsidR="00B6473D">
        <w:t xml:space="preserve"> the Commission’s</w:t>
      </w:r>
      <w:r w:rsidR="000F48A6">
        <w:t xml:space="preserve"> jurisdiction and deny the District’s “re-urged” </w:t>
      </w:r>
      <w:r w:rsidR="00104BB8">
        <w:t xml:space="preserve">motion and other pending </w:t>
      </w:r>
      <w:r w:rsidR="000F48A6">
        <w:t>motion</w:t>
      </w:r>
      <w:r w:rsidR="00104BB8">
        <w:t>s</w:t>
      </w:r>
      <w:r w:rsidR="000F48A6">
        <w:t>.</w:t>
      </w:r>
    </w:p>
    <w:p w14:paraId="410CF5C0" w14:textId="52A35579" w:rsidR="00F51F91" w:rsidRPr="00C57A2A" w:rsidRDefault="0075145B" w:rsidP="003074C5">
      <w:pPr>
        <w:pStyle w:val="Heading1"/>
      </w:pPr>
      <w:bookmarkStart w:id="2" w:name="_Toc479331209"/>
      <w:r w:rsidRPr="00C57A2A">
        <w:t>BACKGROUND</w:t>
      </w:r>
      <w:bookmarkEnd w:id="2"/>
    </w:p>
    <w:p w14:paraId="1D99B2A4" w14:textId="3D3B4753" w:rsidR="00EB587F" w:rsidRPr="00C57A2A" w:rsidRDefault="003206EE" w:rsidP="003074C5">
      <w:pPr>
        <w:pStyle w:val="BTDFLBodyTextDoubleFLI"/>
      </w:pPr>
      <w:r w:rsidRPr="00C57A2A">
        <w:t>On September 23, 2016, the District notified Petitioners that it was increasing wholesale water rates.</w:t>
      </w:r>
      <w:r w:rsidRPr="00C57A2A">
        <w:rPr>
          <w:rStyle w:val="FootnoteReference"/>
          <w:rFonts w:cs="Times New Roman"/>
        </w:rPr>
        <w:footnoteReference w:id="5"/>
      </w:r>
      <w:r w:rsidRPr="00C57A2A">
        <w:t xml:space="preserve">  On December 14, 2016, Petitioners appealed the District’s </w:t>
      </w:r>
      <w:r w:rsidR="002942EE">
        <w:t xml:space="preserve">new </w:t>
      </w:r>
      <w:r w:rsidRPr="00C57A2A">
        <w:t xml:space="preserve">rate to the </w:t>
      </w:r>
      <w:r w:rsidRPr="00C57A2A">
        <w:lastRenderedPageBreak/>
        <w:t xml:space="preserve">Commission pursuant to </w:t>
      </w:r>
      <w:r w:rsidR="00000D7E">
        <w:t xml:space="preserve">Section 13.043(f) of the </w:t>
      </w:r>
      <w:r w:rsidRPr="00C57A2A">
        <w:t>Texas Water Code and the Commission’s rules (</w:t>
      </w:r>
      <w:r w:rsidR="000F48A6">
        <w:t xml:space="preserve">the </w:t>
      </w:r>
      <w:r w:rsidRPr="00C57A2A">
        <w:t>“Petition”).</w:t>
      </w:r>
      <w:r w:rsidRPr="00C57A2A">
        <w:rPr>
          <w:rStyle w:val="FootnoteReference"/>
          <w:rFonts w:cs="Times New Roman"/>
        </w:rPr>
        <w:footnoteReference w:id="6"/>
      </w:r>
      <w:r w:rsidRPr="00C57A2A">
        <w:t xml:space="preserve"> </w:t>
      </w:r>
      <w:r w:rsidR="000F48A6">
        <w:t xml:space="preserve"> </w:t>
      </w:r>
      <w:r w:rsidR="001C6B77">
        <w:t>O</w:t>
      </w:r>
      <w:r w:rsidRPr="00C57A2A">
        <w:t>n January 1</w:t>
      </w:r>
      <w:r w:rsidR="00EB587F" w:rsidRPr="00C57A2A">
        <w:t>3,</w:t>
      </w:r>
      <w:r w:rsidRPr="00C57A2A">
        <w:t xml:space="preserve"> 2017</w:t>
      </w:r>
      <w:r w:rsidR="00E22A78">
        <w:t>,</w:t>
      </w:r>
      <w:r w:rsidRPr="00C57A2A">
        <w:t xml:space="preserve"> </w:t>
      </w:r>
      <w:r w:rsidR="000F48A6">
        <w:t xml:space="preserve">the </w:t>
      </w:r>
      <w:r w:rsidRPr="00C57A2A">
        <w:t xml:space="preserve">Commission Staff </w:t>
      </w:r>
      <w:r w:rsidR="00000D7E">
        <w:t xml:space="preserve">concluded that the Petition complied with the Commission’s pleading requirements and </w:t>
      </w:r>
      <w:r w:rsidRPr="00C57A2A">
        <w:t>recommended</w:t>
      </w:r>
      <w:r w:rsidR="006A1A45">
        <w:t xml:space="preserve"> referral to </w:t>
      </w:r>
      <w:proofErr w:type="spellStart"/>
      <w:r w:rsidR="00E06493">
        <w:t>S</w:t>
      </w:r>
      <w:r w:rsidR="002942EE">
        <w:t>OAH</w:t>
      </w:r>
      <w:proofErr w:type="spellEnd"/>
      <w:r w:rsidR="00E06493">
        <w:t xml:space="preserve"> </w:t>
      </w:r>
      <w:r w:rsidR="006A1A45">
        <w:t>for the public interest hearing</w:t>
      </w:r>
      <w:r w:rsidRPr="00C57A2A">
        <w:t>.</w:t>
      </w:r>
      <w:r w:rsidRPr="00C57A2A">
        <w:rPr>
          <w:rStyle w:val="FootnoteReference"/>
          <w:rFonts w:cs="Times New Roman"/>
        </w:rPr>
        <w:footnoteReference w:id="7"/>
      </w:r>
      <w:r w:rsidRPr="00C57A2A">
        <w:t xml:space="preserve"> </w:t>
      </w:r>
      <w:r w:rsidR="00EB587F" w:rsidRPr="00C57A2A">
        <w:t>T</w:t>
      </w:r>
      <w:r w:rsidRPr="00C57A2A">
        <w:t>he District filed a Response to Commission Staff’s Recommendation on January 23, 2017</w:t>
      </w:r>
      <w:r w:rsidR="006A1A45">
        <w:t>, alleging various pleading deficiencies</w:t>
      </w:r>
      <w:r w:rsidR="00EB587F" w:rsidRPr="00C57A2A">
        <w:t>.</w:t>
      </w:r>
      <w:r w:rsidR="00FC49D1">
        <w:rPr>
          <w:rStyle w:val="FootnoteReference"/>
          <w:rFonts w:cs="Times New Roman"/>
        </w:rPr>
        <w:footnoteReference w:id="8"/>
      </w:r>
      <w:r w:rsidR="00EB587F" w:rsidRPr="00C57A2A">
        <w:t xml:space="preserve">  </w:t>
      </w:r>
      <w:r w:rsidR="001C6B77">
        <w:t>Petitioners</w:t>
      </w:r>
      <w:r w:rsidR="001C6B77" w:rsidRPr="00C57A2A">
        <w:t xml:space="preserve"> </w:t>
      </w:r>
      <w:r w:rsidR="00EB587F" w:rsidRPr="00C57A2A">
        <w:t xml:space="preserve">and </w:t>
      </w:r>
      <w:r w:rsidR="001C6B77">
        <w:t xml:space="preserve">the </w:t>
      </w:r>
      <w:r w:rsidR="00EB587F" w:rsidRPr="00C57A2A">
        <w:t>Commission Staff responded on January 27</w:t>
      </w:r>
      <w:r w:rsidR="00EB587F" w:rsidRPr="00C57A2A">
        <w:rPr>
          <w:vertAlign w:val="superscript"/>
        </w:rPr>
        <w:footnoteReference w:id="9"/>
      </w:r>
      <w:r w:rsidR="00EB587F" w:rsidRPr="00C57A2A">
        <w:t xml:space="preserve"> and January 30,</w:t>
      </w:r>
      <w:r w:rsidR="00EB587F" w:rsidRPr="00C57A2A">
        <w:rPr>
          <w:vertAlign w:val="superscript"/>
        </w:rPr>
        <w:footnoteReference w:id="10"/>
      </w:r>
      <w:r w:rsidR="00EB587F" w:rsidRPr="00C57A2A">
        <w:t xml:space="preserve"> respectively, affirming that the </w:t>
      </w:r>
      <w:r w:rsidR="001C6B77">
        <w:t>P</w:t>
      </w:r>
      <w:r w:rsidR="00EB587F" w:rsidRPr="00C57A2A">
        <w:t xml:space="preserve">etition complies with Commission rules and requesting referral to </w:t>
      </w:r>
      <w:proofErr w:type="spellStart"/>
      <w:r w:rsidR="00EB587F" w:rsidRPr="00C57A2A">
        <w:t>SOAH</w:t>
      </w:r>
      <w:proofErr w:type="spellEnd"/>
      <w:r w:rsidR="00EB587F" w:rsidRPr="00C57A2A">
        <w:t xml:space="preserve">.  </w:t>
      </w:r>
    </w:p>
    <w:p w14:paraId="21A56401" w14:textId="336133A4" w:rsidR="003206EE" w:rsidRPr="00C57A2A" w:rsidRDefault="00EB587F" w:rsidP="003074C5">
      <w:pPr>
        <w:pStyle w:val="BTDFLBodyTextDoubleFLI"/>
        <w:rPr>
          <w:rFonts w:cs="Times New Roman"/>
        </w:rPr>
      </w:pPr>
      <w:r w:rsidRPr="00C57A2A">
        <w:rPr>
          <w:rFonts w:cs="Times New Roman"/>
        </w:rPr>
        <w:t xml:space="preserve">The District filed its </w:t>
      </w:r>
      <w:r w:rsidR="00ED05A4">
        <w:rPr>
          <w:rFonts w:cs="Times New Roman"/>
        </w:rPr>
        <w:t>I</w:t>
      </w:r>
      <w:r w:rsidR="00933DFD">
        <w:rPr>
          <w:rFonts w:cs="Times New Roman"/>
        </w:rPr>
        <w:t>nitial</w:t>
      </w:r>
      <w:r w:rsidRPr="00C57A2A">
        <w:rPr>
          <w:rFonts w:cs="Times New Roman"/>
        </w:rPr>
        <w:t xml:space="preserve"> Motion</w:t>
      </w:r>
      <w:r w:rsidR="006A1A45">
        <w:rPr>
          <w:rFonts w:cs="Times New Roman"/>
        </w:rPr>
        <w:t xml:space="preserve"> to Dismiss on February 6, 2017, challenging the Commission’s jurisdiction to entertain Petitioners’ rate appeal.</w:t>
      </w:r>
      <w:r w:rsidRPr="00C57A2A">
        <w:rPr>
          <w:rStyle w:val="FootnoteReference"/>
          <w:rFonts w:cs="Times New Roman"/>
        </w:rPr>
        <w:footnoteReference w:id="11"/>
      </w:r>
      <w:r w:rsidRPr="00C57A2A">
        <w:rPr>
          <w:rFonts w:cs="Times New Roman"/>
        </w:rPr>
        <w:t xml:space="preserve">  The Cities, </w:t>
      </w:r>
      <w:proofErr w:type="spellStart"/>
      <w:r w:rsidR="00933DFD">
        <w:rPr>
          <w:rFonts w:cs="Times New Roman"/>
        </w:rPr>
        <w:t>intervenor</w:t>
      </w:r>
      <w:proofErr w:type="spellEnd"/>
      <w:r w:rsidR="00933DFD">
        <w:rPr>
          <w:rFonts w:cs="Times New Roman"/>
        </w:rPr>
        <w:t xml:space="preserve"> </w:t>
      </w:r>
      <w:r w:rsidRPr="00C57A2A">
        <w:rPr>
          <w:rFonts w:cs="Times New Roman"/>
        </w:rPr>
        <w:t xml:space="preserve">Royse City, and the </w:t>
      </w:r>
      <w:r w:rsidR="00933DFD">
        <w:rPr>
          <w:rFonts w:cs="Times New Roman"/>
        </w:rPr>
        <w:t>Commission</w:t>
      </w:r>
      <w:r w:rsidR="00933DFD" w:rsidRPr="00C57A2A">
        <w:rPr>
          <w:rFonts w:cs="Times New Roman"/>
        </w:rPr>
        <w:t xml:space="preserve"> </w:t>
      </w:r>
      <w:r w:rsidRPr="00C57A2A">
        <w:rPr>
          <w:rFonts w:cs="Times New Roman"/>
        </w:rPr>
        <w:t>Staff responded on February 23,</w:t>
      </w:r>
      <w:r w:rsidRPr="00C57A2A">
        <w:rPr>
          <w:rFonts w:cs="Times New Roman"/>
          <w:vertAlign w:val="superscript"/>
        </w:rPr>
        <w:footnoteReference w:id="12"/>
      </w:r>
      <w:r w:rsidRPr="00C57A2A">
        <w:rPr>
          <w:rFonts w:cs="Times New Roman"/>
        </w:rPr>
        <w:t xml:space="preserve"> February 27,</w:t>
      </w:r>
      <w:r w:rsidRPr="00C57A2A">
        <w:rPr>
          <w:rFonts w:cs="Times New Roman"/>
          <w:vertAlign w:val="superscript"/>
        </w:rPr>
        <w:footnoteReference w:id="13"/>
      </w:r>
      <w:r w:rsidRPr="00C57A2A">
        <w:rPr>
          <w:rFonts w:cs="Times New Roman"/>
        </w:rPr>
        <w:t xml:space="preserve"> and March 6,</w:t>
      </w:r>
      <w:r w:rsidRPr="00C57A2A">
        <w:rPr>
          <w:rFonts w:cs="Times New Roman"/>
          <w:vertAlign w:val="superscript"/>
        </w:rPr>
        <w:footnoteReference w:id="14"/>
      </w:r>
      <w:r w:rsidRPr="00C57A2A">
        <w:rPr>
          <w:rFonts w:cs="Times New Roman"/>
        </w:rPr>
        <w:t xml:space="preserve"> respectively, each affirming the Commission’s jurisdiction.  </w:t>
      </w:r>
    </w:p>
    <w:p w14:paraId="11C6BE03" w14:textId="5BAAC115" w:rsidR="000162B9" w:rsidRPr="00C57A2A" w:rsidRDefault="00EB587F" w:rsidP="003074C5">
      <w:pPr>
        <w:pStyle w:val="BTDFLBodyTextDoubleFLI"/>
        <w:rPr>
          <w:rFonts w:cs="Times New Roman"/>
        </w:rPr>
      </w:pPr>
      <w:r w:rsidRPr="00C57A2A">
        <w:rPr>
          <w:rFonts w:cs="Times New Roman"/>
        </w:rPr>
        <w:t>The</w:t>
      </w:r>
      <w:r w:rsidR="003206EE" w:rsidRPr="00C57A2A">
        <w:rPr>
          <w:rFonts w:cs="Times New Roman"/>
        </w:rPr>
        <w:t xml:space="preserve"> District </w:t>
      </w:r>
      <w:r w:rsidR="00933DFD">
        <w:rPr>
          <w:rFonts w:cs="Times New Roman"/>
        </w:rPr>
        <w:t xml:space="preserve">also </w:t>
      </w:r>
      <w:r w:rsidRPr="00C57A2A">
        <w:rPr>
          <w:rFonts w:cs="Times New Roman"/>
        </w:rPr>
        <w:t>filed</w:t>
      </w:r>
      <w:r w:rsidR="003206EE" w:rsidRPr="00C57A2A">
        <w:rPr>
          <w:rFonts w:cs="Times New Roman"/>
        </w:rPr>
        <w:t xml:space="preserve"> two lawsuits in state district court</w:t>
      </w:r>
      <w:r w:rsidRPr="00C57A2A">
        <w:rPr>
          <w:rFonts w:cs="Times New Roman"/>
        </w:rPr>
        <w:t xml:space="preserve"> on March 1, </w:t>
      </w:r>
      <w:proofErr w:type="gramStart"/>
      <w:r w:rsidRPr="00C57A2A">
        <w:rPr>
          <w:rFonts w:cs="Times New Roman"/>
        </w:rPr>
        <w:t>2017,</w:t>
      </w:r>
      <w:proofErr w:type="gramEnd"/>
      <w:r w:rsidRPr="00C57A2A">
        <w:rPr>
          <w:rFonts w:cs="Times New Roman"/>
        </w:rPr>
        <w:t xml:space="preserve"> nearly three months after Petitioners initiated these</w:t>
      </w:r>
      <w:r w:rsidR="00E22A78">
        <w:rPr>
          <w:rFonts w:cs="Times New Roman"/>
        </w:rPr>
        <w:t xml:space="preserve"> administrative</w:t>
      </w:r>
      <w:r w:rsidRPr="00C57A2A">
        <w:rPr>
          <w:rFonts w:cs="Times New Roman"/>
        </w:rPr>
        <w:t xml:space="preserve"> proceedings</w:t>
      </w:r>
      <w:r w:rsidR="003206EE" w:rsidRPr="00C57A2A">
        <w:rPr>
          <w:rFonts w:cs="Times New Roman"/>
        </w:rPr>
        <w:t xml:space="preserve">.  The first </w:t>
      </w:r>
      <w:r w:rsidR="00F11181">
        <w:rPr>
          <w:rFonts w:cs="Times New Roman"/>
        </w:rPr>
        <w:t xml:space="preserve">lawsuit </w:t>
      </w:r>
      <w:r w:rsidR="003206EE" w:rsidRPr="00C57A2A">
        <w:rPr>
          <w:rFonts w:cs="Times New Roman"/>
        </w:rPr>
        <w:t xml:space="preserve">requests a declaratory judgment under Section 2001.038 of the Texas Government Code regarding applicability of </w:t>
      </w:r>
      <w:r w:rsidR="006A1A45">
        <w:rPr>
          <w:rFonts w:cs="Times New Roman"/>
        </w:rPr>
        <w:t xml:space="preserve">the </w:t>
      </w:r>
      <w:r w:rsidR="003206EE" w:rsidRPr="00C57A2A">
        <w:rPr>
          <w:rFonts w:cs="Times New Roman"/>
        </w:rPr>
        <w:t xml:space="preserve">Commission rules that govern these </w:t>
      </w:r>
      <w:r w:rsidR="00E22A78">
        <w:rPr>
          <w:rFonts w:cs="Times New Roman"/>
        </w:rPr>
        <w:t xml:space="preserve">administrative </w:t>
      </w:r>
      <w:r w:rsidR="003206EE" w:rsidRPr="00C57A2A">
        <w:rPr>
          <w:rFonts w:cs="Times New Roman"/>
        </w:rPr>
        <w:t>proceedings.</w:t>
      </w:r>
      <w:r w:rsidR="00597335">
        <w:rPr>
          <w:rStyle w:val="FootnoteReference"/>
          <w:rFonts w:cs="Times New Roman"/>
        </w:rPr>
        <w:footnoteReference w:id="15"/>
      </w:r>
      <w:r w:rsidR="003206EE" w:rsidRPr="00C57A2A">
        <w:rPr>
          <w:rFonts w:cs="Times New Roman"/>
        </w:rPr>
        <w:t xml:space="preserve">  The District </w:t>
      </w:r>
      <w:r w:rsidR="00E22A78">
        <w:rPr>
          <w:rFonts w:cs="Times New Roman"/>
        </w:rPr>
        <w:t xml:space="preserve">also </w:t>
      </w:r>
      <w:r w:rsidR="003206EE" w:rsidRPr="00C57A2A">
        <w:rPr>
          <w:rFonts w:cs="Times New Roman"/>
        </w:rPr>
        <w:t>requested a temporary restraining order</w:t>
      </w:r>
      <w:r w:rsidR="00104BB8">
        <w:rPr>
          <w:rFonts w:cs="Times New Roman"/>
        </w:rPr>
        <w:t xml:space="preserve">, </w:t>
      </w:r>
      <w:r w:rsidR="002942EE">
        <w:rPr>
          <w:rFonts w:cs="Times New Roman"/>
        </w:rPr>
        <w:t xml:space="preserve">which </w:t>
      </w:r>
      <w:r w:rsidR="003206EE" w:rsidRPr="00C57A2A">
        <w:rPr>
          <w:rFonts w:cs="Times New Roman"/>
        </w:rPr>
        <w:t>Judge Crump denied from the bench on March 8, 2017</w:t>
      </w:r>
      <w:r w:rsidRPr="00C57A2A">
        <w:rPr>
          <w:rFonts w:cs="Times New Roman"/>
        </w:rPr>
        <w:t>.  T</w:t>
      </w:r>
      <w:r w:rsidR="003206EE" w:rsidRPr="00C57A2A">
        <w:rPr>
          <w:rFonts w:cs="Times New Roman"/>
        </w:rPr>
        <w:t xml:space="preserve">he hearing </w:t>
      </w:r>
      <w:r w:rsidR="001C6B77">
        <w:rPr>
          <w:rFonts w:cs="Times New Roman"/>
        </w:rPr>
        <w:t xml:space="preserve">on the merits in the declaratory judgment action </w:t>
      </w:r>
      <w:r w:rsidR="00BB0434">
        <w:rPr>
          <w:rFonts w:cs="Times New Roman"/>
        </w:rPr>
        <w:t xml:space="preserve">currently </w:t>
      </w:r>
      <w:r w:rsidRPr="00C57A2A">
        <w:rPr>
          <w:rFonts w:cs="Times New Roman"/>
        </w:rPr>
        <w:t>is</w:t>
      </w:r>
      <w:r w:rsidR="003206EE" w:rsidRPr="00C57A2A">
        <w:rPr>
          <w:rFonts w:cs="Times New Roman"/>
        </w:rPr>
        <w:t xml:space="preserve"> set for May 31, 2017.  </w:t>
      </w:r>
      <w:r w:rsidRPr="00C57A2A">
        <w:rPr>
          <w:rFonts w:cs="Times New Roman"/>
        </w:rPr>
        <w:t>The second</w:t>
      </w:r>
      <w:r w:rsidR="004F1C04">
        <w:rPr>
          <w:rFonts w:cs="Times New Roman"/>
        </w:rPr>
        <w:t xml:space="preserve"> lawsuit</w:t>
      </w:r>
      <w:r w:rsidRPr="00C57A2A">
        <w:rPr>
          <w:rFonts w:cs="Times New Roman"/>
        </w:rPr>
        <w:t xml:space="preserve"> is a bond validation suit under Chapter 1205 of the Texas </w:t>
      </w:r>
      <w:r w:rsidRPr="00C57A2A">
        <w:rPr>
          <w:rFonts w:cs="Times New Roman"/>
        </w:rPr>
        <w:lastRenderedPageBreak/>
        <w:t>Government Code that seeks similar relief.</w:t>
      </w:r>
      <w:r w:rsidR="00597335">
        <w:rPr>
          <w:rStyle w:val="FootnoteReference"/>
          <w:rFonts w:cs="Times New Roman"/>
        </w:rPr>
        <w:footnoteReference w:id="16"/>
      </w:r>
      <w:r w:rsidRPr="00C57A2A">
        <w:rPr>
          <w:rFonts w:cs="Times New Roman"/>
        </w:rPr>
        <w:t xml:space="preserve">  The hearing </w:t>
      </w:r>
      <w:r w:rsidR="006C7417">
        <w:rPr>
          <w:rFonts w:cs="Times New Roman"/>
        </w:rPr>
        <w:t xml:space="preserve">on the merits in the bond validation suit </w:t>
      </w:r>
      <w:r w:rsidR="002942EE">
        <w:rPr>
          <w:rFonts w:cs="Times New Roman"/>
        </w:rPr>
        <w:t>is expected to be</w:t>
      </w:r>
      <w:r w:rsidR="00271185">
        <w:rPr>
          <w:rFonts w:cs="Times New Roman"/>
        </w:rPr>
        <w:t xml:space="preserve"> </w:t>
      </w:r>
      <w:r w:rsidR="00BB0434">
        <w:rPr>
          <w:rFonts w:cs="Times New Roman"/>
        </w:rPr>
        <w:t>sometime after</w:t>
      </w:r>
      <w:r w:rsidR="002942EE">
        <w:rPr>
          <w:rFonts w:cs="Times New Roman"/>
        </w:rPr>
        <w:t xml:space="preserve"> mid-June</w:t>
      </w:r>
      <w:r w:rsidR="00271185">
        <w:rPr>
          <w:rFonts w:cs="Times New Roman"/>
        </w:rPr>
        <w:t xml:space="preserve"> 2017</w:t>
      </w:r>
      <w:r w:rsidR="002942EE">
        <w:rPr>
          <w:rFonts w:cs="Times New Roman"/>
        </w:rPr>
        <w:t>.</w:t>
      </w:r>
    </w:p>
    <w:p w14:paraId="52B5F0E9" w14:textId="5F12D8E6" w:rsidR="004A6002" w:rsidRPr="003074C5" w:rsidRDefault="004A6002" w:rsidP="003074C5">
      <w:pPr>
        <w:pStyle w:val="Heading1"/>
      </w:pPr>
      <w:bookmarkStart w:id="3" w:name="_Toc479331210"/>
      <w:r w:rsidRPr="003074C5">
        <w:t xml:space="preserve">REQUEST FOR COMMISSION TO PRESIDE OVER </w:t>
      </w:r>
      <w:r w:rsidR="003074C5">
        <w:br/>
      </w:r>
      <w:r w:rsidRPr="003074C5">
        <w:t>PUBLIC INTEREST HEARING</w:t>
      </w:r>
      <w:bookmarkEnd w:id="3"/>
    </w:p>
    <w:p w14:paraId="0348E1E2" w14:textId="7CEC31E4" w:rsidR="00104BB8" w:rsidRDefault="004A6002" w:rsidP="003074C5">
      <w:pPr>
        <w:pStyle w:val="BTDFLBodyTextDoubleFLI"/>
      </w:pPr>
      <w:r>
        <w:t xml:space="preserve">The </w:t>
      </w:r>
      <w:r w:rsidR="00D63BF1">
        <w:t xml:space="preserve">policy </w:t>
      </w:r>
      <w:r>
        <w:t xml:space="preserve">matters </w:t>
      </w:r>
      <w:r w:rsidR="00D63BF1">
        <w:t>at issue</w:t>
      </w:r>
      <w:r>
        <w:t xml:space="preserve"> </w:t>
      </w:r>
      <w:r w:rsidR="009141FA">
        <w:t>here</w:t>
      </w:r>
      <w:r>
        <w:t xml:space="preserve"> are paramount to the Commission</w:t>
      </w:r>
      <w:r w:rsidR="00271185">
        <w:t>’</w:t>
      </w:r>
      <w:r w:rsidR="009141FA">
        <w:t xml:space="preserve">s </w:t>
      </w:r>
      <w:r w:rsidR="00D63BF1">
        <w:t>core</w:t>
      </w:r>
      <w:r>
        <w:t xml:space="preserve"> mission.</w:t>
      </w:r>
      <w:r w:rsidR="00D63BF1">
        <w:rPr>
          <w:rStyle w:val="FootnoteReference"/>
        </w:rPr>
        <w:footnoteReference w:id="17"/>
      </w:r>
      <w:r>
        <w:t xml:space="preserve"> The </w:t>
      </w:r>
      <w:r w:rsidR="00D63BF1">
        <w:t xml:space="preserve">public interest </w:t>
      </w:r>
      <w:r w:rsidR="00104BB8">
        <w:t xml:space="preserve">test </w:t>
      </w:r>
      <w:r w:rsidR="009141FA">
        <w:t>probes</w:t>
      </w:r>
      <w:r>
        <w:t xml:space="preserve"> abuse of monopolistic power and the unfair setting of rates.  As set out in the Petition, the District </w:t>
      </w:r>
      <w:r w:rsidR="00D63BF1">
        <w:t xml:space="preserve">sets </w:t>
      </w:r>
      <w:r>
        <w:t xml:space="preserve">rates and </w:t>
      </w:r>
      <w:r w:rsidR="00D63BF1">
        <w:t>issues debt</w:t>
      </w:r>
      <w:r>
        <w:t xml:space="preserve"> in an unfettered manner. </w:t>
      </w:r>
      <w:r w:rsidR="00A66A61">
        <w:t xml:space="preserve">The District further </w:t>
      </w:r>
      <w:r w:rsidR="00BB0434">
        <w:t xml:space="preserve">has said it </w:t>
      </w:r>
      <w:r w:rsidR="00A66A61">
        <w:t xml:space="preserve">intends to </w:t>
      </w:r>
      <w:r w:rsidR="009141FA">
        <w:t>issue</w:t>
      </w:r>
      <w:r w:rsidR="00A66A61">
        <w:t xml:space="preserve"> an additional approximately $750 million in bond debt next year</w:t>
      </w:r>
      <w:r w:rsidR="00104BB8">
        <w:t>,</w:t>
      </w:r>
      <w:r w:rsidR="00A66A61">
        <w:t xml:space="preserve"> which </w:t>
      </w:r>
      <w:r w:rsidR="00BB0434">
        <w:t xml:space="preserve">would drastically increase </w:t>
      </w:r>
      <w:r w:rsidR="00A66A61">
        <w:t>the District</w:t>
      </w:r>
      <w:r w:rsidR="00104BB8">
        <w:t>’s bond debt</w:t>
      </w:r>
      <w:r w:rsidR="00BB0434">
        <w:t xml:space="preserve"> to levels that the District has never come close to in the past</w:t>
      </w:r>
      <w:r w:rsidR="000D2D0D">
        <w:t>.</w:t>
      </w:r>
      <w:r w:rsidR="000D2D0D">
        <w:rPr>
          <w:rStyle w:val="FootnoteReference"/>
        </w:rPr>
        <w:footnoteReference w:id="18"/>
      </w:r>
      <w:r w:rsidR="000D2D0D">
        <w:t xml:space="preserve"> </w:t>
      </w:r>
      <w:r w:rsidR="00FC49D1">
        <w:rPr>
          <w:rFonts w:cs="Times New Roman"/>
        </w:rPr>
        <w:t xml:space="preserve"> Although the District has raised base water rates by nearly 70% since Fiscal Year 2012</w:t>
      </w:r>
      <w:r w:rsidR="00FC49D1">
        <w:rPr>
          <w:rStyle w:val="FootnoteReference"/>
          <w:rFonts w:cs="Times New Roman"/>
        </w:rPr>
        <w:footnoteReference w:id="19"/>
      </w:r>
      <w:r w:rsidR="00FC49D1">
        <w:rPr>
          <w:rFonts w:cs="Times New Roman"/>
        </w:rPr>
        <w:t xml:space="preserve"> </w:t>
      </w:r>
      <w:r w:rsidR="00FC49D1">
        <w:t>and</w:t>
      </w:r>
      <w:r w:rsidR="00A66A61">
        <w:t xml:space="preserve"> </w:t>
      </w:r>
      <w:r w:rsidR="00FC49D1">
        <w:t>has indicated</w:t>
      </w:r>
      <w:r w:rsidR="00A66A61">
        <w:t xml:space="preserve"> that</w:t>
      </w:r>
      <w:r w:rsidR="00FC49D1">
        <w:t xml:space="preserve"> it expect</w:t>
      </w:r>
      <w:r w:rsidR="00F50F4F">
        <w:t xml:space="preserve">s to </w:t>
      </w:r>
      <w:r w:rsidR="00FC49D1">
        <w:t>i</w:t>
      </w:r>
      <w:r w:rsidR="00F50F4F">
        <w:t>ncrease</w:t>
      </w:r>
      <w:r w:rsidR="00A66A61">
        <w:t xml:space="preserve"> </w:t>
      </w:r>
      <w:r w:rsidR="009141FA">
        <w:t xml:space="preserve">water </w:t>
      </w:r>
      <w:r w:rsidR="00A66A61">
        <w:t>rates 10% per year</w:t>
      </w:r>
      <w:r w:rsidR="00FC49D1">
        <w:t xml:space="preserve"> </w:t>
      </w:r>
      <w:r w:rsidR="00BB0434">
        <w:t>in the upcoming years</w:t>
      </w:r>
      <w:r w:rsidR="009141FA">
        <w:t>,</w:t>
      </w:r>
      <w:r w:rsidR="00A66A61">
        <w:rPr>
          <w:rStyle w:val="FootnoteReference"/>
        </w:rPr>
        <w:footnoteReference w:id="20"/>
      </w:r>
      <w:r w:rsidR="00FC49D1">
        <w:t xml:space="preserve"> </w:t>
      </w:r>
      <w:r w:rsidR="009141FA">
        <w:t xml:space="preserve">District Board members have suggested retaliation against Petitioners for filing the Petition </w:t>
      </w:r>
      <w:r w:rsidR="00F50F4F">
        <w:t>for</w:t>
      </w:r>
      <w:r w:rsidR="009141FA">
        <w:t xml:space="preserve"> review of </w:t>
      </w:r>
      <w:r w:rsidR="00F50F4F">
        <w:t>Fiscal Year 2017 rates</w:t>
      </w:r>
      <w:r w:rsidR="009141FA">
        <w:t>.</w:t>
      </w:r>
      <w:r w:rsidR="009141FA">
        <w:rPr>
          <w:rStyle w:val="FootnoteReference"/>
        </w:rPr>
        <w:footnoteReference w:id="21"/>
      </w:r>
      <w:r w:rsidR="009141FA">
        <w:t xml:space="preserve">   </w:t>
      </w:r>
    </w:p>
    <w:p w14:paraId="4432A0E1" w14:textId="0C43049F" w:rsidR="00D63BF1" w:rsidRDefault="00D63BF1" w:rsidP="003074C5">
      <w:pPr>
        <w:pStyle w:val="BTDFLBodyTextDoubleFLI"/>
      </w:pPr>
      <w:r>
        <w:t xml:space="preserve">In response to </w:t>
      </w:r>
      <w:r w:rsidR="00104BB8">
        <w:t xml:space="preserve">Petitioners’ </w:t>
      </w:r>
      <w:r w:rsidR="004C00E0">
        <w:t>rate appeal</w:t>
      </w:r>
      <w:r w:rsidR="006B2BBA">
        <w:t>, the District a</w:t>
      </w:r>
      <w:r w:rsidR="00F50F4F">
        <w:t>ttempts to assert</w:t>
      </w:r>
      <w:r w:rsidR="006B2BBA">
        <w:t xml:space="preserve"> that the C</w:t>
      </w:r>
      <w:r>
        <w:t>ontract is “incontestable in any forum</w:t>
      </w:r>
      <w:r w:rsidR="00104BB8">
        <w:t>,</w:t>
      </w:r>
      <w:r>
        <w:t>”</w:t>
      </w:r>
      <w:r>
        <w:rPr>
          <w:rStyle w:val="FootnoteReference"/>
        </w:rPr>
        <w:footnoteReference w:id="22"/>
      </w:r>
      <w:r w:rsidR="00104BB8">
        <w:t xml:space="preserve"> including </w:t>
      </w:r>
      <w:r w:rsidR="009141FA">
        <w:t xml:space="preserve">at </w:t>
      </w:r>
      <w:r w:rsidR="00104BB8">
        <w:t>the Commission</w:t>
      </w:r>
      <w:r w:rsidR="00F50F4F">
        <w:t xml:space="preserve">, and, therefore, that the Commission cannot review </w:t>
      </w:r>
      <w:r w:rsidR="00FC49D1">
        <w:t>the District’s</w:t>
      </w:r>
      <w:r w:rsidR="00F50F4F">
        <w:t xml:space="preserve"> rates</w:t>
      </w:r>
      <w:r w:rsidR="00104BB8">
        <w:t>.</w:t>
      </w:r>
      <w:r>
        <w:t xml:space="preserve">  The District’s “head</w:t>
      </w:r>
      <w:r w:rsidR="009141FA">
        <w:t>s</w:t>
      </w:r>
      <w:r>
        <w:t xml:space="preserve"> we win, tails you lose” approach cannot withstand </w:t>
      </w:r>
      <w:r w:rsidR="00104BB8">
        <w:t xml:space="preserve">Commission </w:t>
      </w:r>
      <w:r>
        <w:t xml:space="preserve">scrutiny.  </w:t>
      </w:r>
    </w:p>
    <w:p w14:paraId="12924864" w14:textId="4C355FB7" w:rsidR="000D4FB2" w:rsidRDefault="004A6002" w:rsidP="003074C5">
      <w:pPr>
        <w:pStyle w:val="BTDFLBodyTextDoubleFLI"/>
      </w:pPr>
      <w:r>
        <w:lastRenderedPageBreak/>
        <w:t xml:space="preserve">Instead of </w:t>
      </w:r>
      <w:r w:rsidR="00104BB8">
        <w:t>acknowledging Petitioners’</w:t>
      </w:r>
      <w:r>
        <w:t xml:space="preserve"> statutorily granted right </w:t>
      </w:r>
      <w:r w:rsidR="00104BB8">
        <w:t xml:space="preserve">to </w:t>
      </w:r>
      <w:r>
        <w:t xml:space="preserve">rate review, </w:t>
      </w:r>
      <w:r w:rsidR="00D63BF1">
        <w:t xml:space="preserve">the District </w:t>
      </w:r>
      <w:r>
        <w:t xml:space="preserve">has </w:t>
      </w:r>
      <w:r w:rsidR="009141FA">
        <w:t>pursued many</w:t>
      </w:r>
      <w:r>
        <w:t xml:space="preserve"> avenue</w:t>
      </w:r>
      <w:r w:rsidR="009141FA">
        <w:t>s</w:t>
      </w:r>
      <w:r>
        <w:t xml:space="preserve"> to prohibit </w:t>
      </w:r>
      <w:r w:rsidR="0044387A">
        <w:t>the Commission’s</w:t>
      </w:r>
      <w:r>
        <w:t xml:space="preserve"> review.  </w:t>
      </w:r>
      <w:r w:rsidR="00FC49D1">
        <w:t>And</w:t>
      </w:r>
      <w:r>
        <w:t xml:space="preserve"> given that Petitioners pay over 50% of the District’s </w:t>
      </w:r>
      <w:r w:rsidR="00D63BF1">
        <w:t>revenue requirement</w:t>
      </w:r>
      <w:r w:rsidR="0044387A">
        <w:t>,</w:t>
      </w:r>
      <w:r>
        <w:t xml:space="preserve"> </w:t>
      </w:r>
      <w:r w:rsidR="00FC49D1">
        <w:t>Petitioners</w:t>
      </w:r>
      <w:r w:rsidR="0044387A">
        <w:t xml:space="preserve"> are footing </w:t>
      </w:r>
      <w:r w:rsidR="009141FA">
        <w:t>over half of the</w:t>
      </w:r>
      <w:r w:rsidR="0044387A">
        <w:t xml:space="preserve"> bill for the </w:t>
      </w:r>
      <w:r>
        <w:t>District</w:t>
      </w:r>
      <w:r w:rsidR="0044387A">
        <w:t>’s</w:t>
      </w:r>
      <w:r>
        <w:t xml:space="preserve"> </w:t>
      </w:r>
      <w:r w:rsidR="0044387A">
        <w:t>multi-venue jurisdictional challenges</w:t>
      </w:r>
      <w:r>
        <w:t>.</w:t>
      </w:r>
      <w:r w:rsidR="00474E6B">
        <w:rPr>
          <w:rStyle w:val="FootnoteReference"/>
        </w:rPr>
        <w:footnoteReference w:id="23"/>
      </w:r>
      <w:r>
        <w:t xml:space="preserve"> </w:t>
      </w:r>
      <w:r w:rsidR="00F50F4F">
        <w:t>This abuse of power, which punishes ratepayers, cannot continue unfettered</w:t>
      </w:r>
      <w:r w:rsidR="0044387A">
        <w:t xml:space="preserve"> and </w:t>
      </w:r>
      <w:r w:rsidR="00FC49D1">
        <w:t>must</w:t>
      </w:r>
      <w:r>
        <w:t xml:space="preserve"> be reviewed</w:t>
      </w:r>
      <w:r w:rsidR="0044387A">
        <w:t xml:space="preserve"> by the Commission</w:t>
      </w:r>
      <w:r>
        <w:t xml:space="preserve">. </w:t>
      </w:r>
    </w:p>
    <w:p w14:paraId="768BA5AB" w14:textId="15353159" w:rsidR="006049BB" w:rsidRDefault="000D4FB2" w:rsidP="003074C5">
      <w:pPr>
        <w:pStyle w:val="BTDFLBodyTextDoubleFLI"/>
      </w:pPr>
      <w:r>
        <w:t>Given the public interest determination</w:t>
      </w:r>
      <w:r w:rsidR="009141FA">
        <w:t>s</w:t>
      </w:r>
      <w:r>
        <w:t xml:space="preserve"> required under </w:t>
      </w:r>
      <w:r w:rsidR="00FC49D1">
        <w:t>other</w:t>
      </w:r>
      <w:r w:rsidR="009141FA">
        <w:t xml:space="preserve"> </w:t>
      </w:r>
      <w:r w:rsidR="008E07A0">
        <w:t xml:space="preserve">provisions of </w:t>
      </w:r>
      <w:r w:rsidR="00A1352B">
        <w:t>Public Utility Regulatory Act</w:t>
      </w:r>
      <w:r w:rsidR="00A1352B">
        <w:rPr>
          <w:rStyle w:val="FootnoteReference"/>
        </w:rPr>
        <w:footnoteReference w:id="24"/>
      </w:r>
      <w:r w:rsidR="008E07A0">
        <w:t xml:space="preserve"> and the</w:t>
      </w:r>
      <w:r>
        <w:t xml:space="preserve"> </w:t>
      </w:r>
      <w:r w:rsidR="0044387A">
        <w:t>Commission’s rules</w:t>
      </w:r>
      <w:r>
        <w:t xml:space="preserve">, </w:t>
      </w:r>
      <w:r w:rsidR="004A6002">
        <w:t xml:space="preserve">Petitioners believe that the Commissioners </w:t>
      </w:r>
      <w:r>
        <w:t>are in the best position to</w:t>
      </w:r>
      <w:r w:rsidR="004A6002">
        <w:t xml:space="preserve"> decide in the first instance whether the </w:t>
      </w:r>
      <w:r>
        <w:t xml:space="preserve">rate </w:t>
      </w:r>
      <w:r w:rsidR="009141FA">
        <w:t xml:space="preserve">the District </w:t>
      </w:r>
      <w:r w:rsidR="006B2BBA">
        <w:t xml:space="preserve">set </w:t>
      </w:r>
      <w:r w:rsidR="00C2172A">
        <w:t xml:space="preserve">is </w:t>
      </w:r>
      <w:r>
        <w:t>adverse to the public interest</w:t>
      </w:r>
      <w:r w:rsidR="004A6002">
        <w:t xml:space="preserve">.  Considering the narrow scope of the public interest hearing, Petitioners expect that the hearing </w:t>
      </w:r>
      <w:r w:rsidR="00736F11">
        <w:t xml:space="preserve">on the merits </w:t>
      </w:r>
      <w:r w:rsidR="004A6002">
        <w:t xml:space="preserve">would last no more than </w:t>
      </w:r>
      <w:r w:rsidR="00736F11">
        <w:t xml:space="preserve">2-3 </w:t>
      </w:r>
      <w:r w:rsidR="004A6002">
        <w:t>days</w:t>
      </w:r>
      <w:r w:rsidR="009141FA">
        <w:t xml:space="preserve">.  </w:t>
      </w:r>
      <w:r w:rsidR="00736F11">
        <w:t xml:space="preserve">Petitioners further expect that </w:t>
      </w:r>
      <w:r w:rsidR="00D749D2">
        <w:t xml:space="preserve">such an approach </w:t>
      </w:r>
      <w:r w:rsidR="0044387A">
        <w:t xml:space="preserve">will </w:t>
      </w:r>
      <w:r w:rsidR="00D749D2">
        <w:t xml:space="preserve">reduce </w:t>
      </w:r>
      <w:r w:rsidR="00736F11">
        <w:t xml:space="preserve">the overall time to </w:t>
      </w:r>
      <w:r w:rsidR="0044387A">
        <w:t xml:space="preserve">adjudicate the </w:t>
      </w:r>
      <w:r w:rsidR="009141FA">
        <w:t>appeal</w:t>
      </w:r>
      <w:r w:rsidR="00F50F4F">
        <w:t>.  Thus, g</w:t>
      </w:r>
      <w:r w:rsidR="00736F11">
        <w:t>ood cause exists</w:t>
      </w:r>
      <w:r w:rsidR="002A3CA3">
        <w:t xml:space="preserve"> to grant</w:t>
      </w:r>
      <w:r w:rsidR="00736F11">
        <w:t xml:space="preserve"> Petitioners</w:t>
      </w:r>
      <w:r w:rsidR="002A3CA3">
        <w:t>’</w:t>
      </w:r>
      <w:r w:rsidR="00736F11">
        <w:t xml:space="preserve"> request that </w:t>
      </w:r>
      <w:r w:rsidR="00FC49D1">
        <w:t>the public interest</w:t>
      </w:r>
      <w:r w:rsidR="00736F11">
        <w:t xml:space="preserve"> hearing in this docket be conducted by the Commissioners themselves.</w:t>
      </w:r>
      <w:r w:rsidR="00736F11">
        <w:rPr>
          <w:rStyle w:val="FootnoteReference"/>
        </w:rPr>
        <w:footnoteReference w:id="25"/>
      </w:r>
    </w:p>
    <w:p w14:paraId="5C834034" w14:textId="7117D681" w:rsidR="0075145B" w:rsidRPr="00C57A2A" w:rsidRDefault="0075145B" w:rsidP="003074C5">
      <w:pPr>
        <w:pStyle w:val="Heading1"/>
      </w:pPr>
      <w:bookmarkStart w:id="4" w:name="_Toc479331211"/>
      <w:r w:rsidRPr="00C57A2A">
        <w:t>RESPONSE</w:t>
      </w:r>
      <w:r w:rsidR="00EB587F" w:rsidRPr="00C57A2A">
        <w:t xml:space="preserve"> TO DISTRICT’S RE-URGED MOTION TO DISMISS</w:t>
      </w:r>
      <w:bookmarkEnd w:id="4"/>
    </w:p>
    <w:p w14:paraId="7793AD18" w14:textId="0F529BFE" w:rsidR="00AD17CE" w:rsidRDefault="00E22A78" w:rsidP="003074C5">
      <w:pPr>
        <w:pStyle w:val="BTDFLBodyTextDoubleFLI"/>
      </w:pPr>
      <w:r>
        <w:t>T</w:t>
      </w:r>
      <w:r w:rsidRPr="00C57A2A">
        <w:t xml:space="preserve">he District’s “re-urged” motion to dismiss </w:t>
      </w:r>
      <w:r w:rsidR="00AD17CE" w:rsidRPr="00C57A2A">
        <w:t xml:space="preserve">regurgitates arguments </w:t>
      </w:r>
      <w:r>
        <w:t xml:space="preserve">it </w:t>
      </w:r>
      <w:r w:rsidR="00AD17CE" w:rsidRPr="00C57A2A">
        <w:t xml:space="preserve">made in its </w:t>
      </w:r>
      <w:r w:rsidR="00036A88">
        <w:t>initial</w:t>
      </w:r>
      <w:r w:rsidR="00AD17CE" w:rsidRPr="00C57A2A">
        <w:t xml:space="preserve"> motion to dismiss</w:t>
      </w:r>
      <w:r w:rsidR="006A1A45">
        <w:t xml:space="preserve">. </w:t>
      </w:r>
      <w:r w:rsidR="00036A88">
        <w:t xml:space="preserve"> </w:t>
      </w:r>
      <w:r w:rsidR="006A1A45">
        <w:t>As such,</w:t>
      </w:r>
      <w:r>
        <w:t xml:space="preserve"> </w:t>
      </w:r>
      <w:r w:rsidR="00AE6EB5">
        <w:t>the “re-urged</w:t>
      </w:r>
      <w:r w:rsidR="003E4AC2">
        <w:t>” motion</w:t>
      </w:r>
      <w:r w:rsidR="00AE6EB5">
        <w:t xml:space="preserve"> </w:t>
      </w:r>
      <w:r w:rsidR="006A1A45">
        <w:t xml:space="preserve">is </w:t>
      </w:r>
      <w:r w:rsidR="00AD17CE" w:rsidRPr="00C57A2A">
        <w:t>essentially a reply to Petitioners’ and C</w:t>
      </w:r>
      <w:r w:rsidR="00D636CA">
        <w:t>ommission</w:t>
      </w:r>
      <w:r w:rsidR="00AD17CE" w:rsidRPr="00C57A2A">
        <w:t xml:space="preserve"> Staff’s responses</w:t>
      </w:r>
      <w:r>
        <w:t xml:space="preserve"> to </w:t>
      </w:r>
      <w:r w:rsidR="0044387A">
        <w:t xml:space="preserve">the </w:t>
      </w:r>
      <w:r w:rsidR="00D636CA">
        <w:t>I</w:t>
      </w:r>
      <w:r w:rsidR="0044387A">
        <w:t>nitial</w:t>
      </w:r>
      <w:r>
        <w:t xml:space="preserve"> </w:t>
      </w:r>
      <w:r w:rsidR="00D636CA">
        <w:t>M</w:t>
      </w:r>
      <w:r>
        <w:t xml:space="preserve">otion to </w:t>
      </w:r>
      <w:r w:rsidR="00D636CA">
        <w:t>D</w:t>
      </w:r>
      <w:r>
        <w:t>ismiss</w:t>
      </w:r>
      <w:r w:rsidR="00AD17CE" w:rsidRPr="00C57A2A">
        <w:t xml:space="preserve">.  </w:t>
      </w:r>
      <w:r w:rsidR="008655E1">
        <w:t>Such r</w:t>
      </w:r>
      <w:r w:rsidR="00AD17CE" w:rsidRPr="00C57A2A">
        <w:t>eplies “may be made only by leave of and as directed by the presiding officer.”</w:t>
      </w:r>
      <w:r w:rsidR="00AD17CE" w:rsidRPr="00C57A2A">
        <w:rPr>
          <w:rStyle w:val="FootnoteReference"/>
          <w:rFonts w:cs="Times New Roman"/>
        </w:rPr>
        <w:footnoteReference w:id="26"/>
      </w:r>
      <w:r w:rsidR="00AD17CE" w:rsidRPr="00C57A2A">
        <w:t xml:space="preserve"> </w:t>
      </w:r>
      <w:r w:rsidR="004A41C5" w:rsidRPr="00C57A2A">
        <w:t xml:space="preserve"> The District did not </w:t>
      </w:r>
      <w:r w:rsidR="006A1A45">
        <w:t xml:space="preserve">request or </w:t>
      </w:r>
      <w:r w:rsidR="004A41C5" w:rsidRPr="00C57A2A">
        <w:t xml:space="preserve">receive leave of the presiding officer to “re-urge” its pending motion to dismiss, and so the presiding officer should </w:t>
      </w:r>
      <w:r w:rsidR="00AE6EB5">
        <w:t>strike</w:t>
      </w:r>
      <w:r w:rsidR="00AE6EB5" w:rsidRPr="00C57A2A">
        <w:t xml:space="preserve"> </w:t>
      </w:r>
      <w:r w:rsidR="004A41C5" w:rsidRPr="00C57A2A">
        <w:t xml:space="preserve">the </w:t>
      </w:r>
      <w:r w:rsidR="00036A88">
        <w:t xml:space="preserve">“re-urged” </w:t>
      </w:r>
      <w:r w:rsidR="004A41C5" w:rsidRPr="00C57A2A">
        <w:t>motion out of hand.</w:t>
      </w:r>
    </w:p>
    <w:p w14:paraId="3C32C9B5" w14:textId="6F37209C" w:rsidR="002942EE" w:rsidRPr="00C57A2A" w:rsidRDefault="002942EE" w:rsidP="003074C5">
      <w:pPr>
        <w:pStyle w:val="BTDFLBodyTextDoubleFLI"/>
      </w:pPr>
      <w:r>
        <w:t>Also, as pointed out by Commission Staff</w:t>
      </w:r>
      <w:r w:rsidR="008E07A0">
        <w:t>, the District’s Initial Motion to D</w:t>
      </w:r>
      <w:r w:rsidR="001F0C45">
        <w:t>ismiss was procedurally defective</w:t>
      </w:r>
      <w:r>
        <w:t>.</w:t>
      </w:r>
      <w:r w:rsidR="001F0C45">
        <w:rPr>
          <w:rStyle w:val="FootnoteReference"/>
          <w:rFonts w:cs="Times New Roman"/>
        </w:rPr>
        <w:footnoteReference w:id="27"/>
      </w:r>
      <w:r>
        <w:t xml:space="preserve">  </w:t>
      </w:r>
      <w:r w:rsidR="0044387A">
        <w:t>Although on</w:t>
      </w:r>
      <w:r>
        <w:t xml:space="preserve"> notice</w:t>
      </w:r>
      <w:r w:rsidR="003E4AC2">
        <w:t xml:space="preserve"> of that defect</w:t>
      </w:r>
      <w:r>
        <w:t xml:space="preserve">, the District </w:t>
      </w:r>
      <w:r w:rsidR="008655E1">
        <w:t xml:space="preserve">did not </w:t>
      </w:r>
      <w:r>
        <w:t xml:space="preserve">ask for leave to </w:t>
      </w:r>
      <w:r>
        <w:lastRenderedPageBreak/>
        <w:t xml:space="preserve">amend its </w:t>
      </w:r>
      <w:r w:rsidR="008E07A0">
        <w:t>I</w:t>
      </w:r>
      <w:r w:rsidR="00036A88">
        <w:t>nitial</w:t>
      </w:r>
      <w:r>
        <w:t xml:space="preserve"> </w:t>
      </w:r>
      <w:r w:rsidR="008E07A0">
        <w:t>M</w:t>
      </w:r>
      <w:r w:rsidR="00036A88">
        <w:t xml:space="preserve">otion </w:t>
      </w:r>
      <w:r>
        <w:t xml:space="preserve">to </w:t>
      </w:r>
      <w:r w:rsidR="008E07A0">
        <w:t>D</w:t>
      </w:r>
      <w:r>
        <w:t>ismiss</w:t>
      </w:r>
      <w:r w:rsidR="003E4AC2">
        <w:t>.</w:t>
      </w:r>
      <w:r>
        <w:t xml:space="preserve"> </w:t>
      </w:r>
      <w:r w:rsidR="003E4AC2">
        <w:t xml:space="preserve"> A</w:t>
      </w:r>
      <w:r w:rsidR="008655E1">
        <w:t xml:space="preserve">nd, once again, </w:t>
      </w:r>
      <w:r w:rsidR="003E4AC2">
        <w:t xml:space="preserve">the District </w:t>
      </w:r>
      <w:r w:rsidR="008655E1">
        <w:t>did not comply</w:t>
      </w:r>
      <w:r w:rsidR="0044387A">
        <w:t xml:space="preserve"> with the Commission’s rules </w:t>
      </w:r>
      <w:r>
        <w:t xml:space="preserve">in its improper “re-urged” </w:t>
      </w:r>
      <w:r w:rsidR="00036A88">
        <w:t xml:space="preserve">motion </w:t>
      </w:r>
      <w:r>
        <w:t xml:space="preserve">to </w:t>
      </w:r>
      <w:r w:rsidR="00036A88">
        <w:t>d</w:t>
      </w:r>
      <w:r>
        <w:t>ismiss.</w:t>
      </w:r>
      <w:r w:rsidR="00073F5E">
        <w:rPr>
          <w:rStyle w:val="FootnoteReference"/>
          <w:rFonts w:cs="Times New Roman"/>
        </w:rPr>
        <w:footnoteReference w:id="28"/>
      </w:r>
      <w:r>
        <w:t xml:space="preserve"> </w:t>
      </w:r>
    </w:p>
    <w:p w14:paraId="2DFDAB7D" w14:textId="30EAE97F" w:rsidR="004A41C5" w:rsidRPr="00C57A2A" w:rsidRDefault="006A1A45" w:rsidP="003074C5">
      <w:pPr>
        <w:pStyle w:val="BTDFLBodyTextDoubleFLI"/>
      </w:pPr>
      <w:r>
        <w:t>The presiding officer sh</w:t>
      </w:r>
      <w:r w:rsidR="00597335">
        <w:t xml:space="preserve">ould also deny the motion on its substance.  </w:t>
      </w:r>
      <w:r w:rsidR="004A41C5" w:rsidRPr="00C57A2A">
        <w:t xml:space="preserve">Petitioners will not </w:t>
      </w:r>
      <w:r w:rsidR="002942EE">
        <w:t>restate</w:t>
      </w:r>
      <w:r w:rsidR="004A41C5" w:rsidRPr="00C57A2A">
        <w:t xml:space="preserve"> the arguments made in their February 23, 2017 response to the District’s </w:t>
      </w:r>
      <w:r w:rsidR="008E07A0">
        <w:t>I</w:t>
      </w:r>
      <w:r w:rsidR="00D029AB">
        <w:t>nitial</w:t>
      </w:r>
      <w:r w:rsidR="008E07A0">
        <w:t xml:space="preserve"> Motion to D</w:t>
      </w:r>
      <w:r w:rsidR="004A41C5" w:rsidRPr="00C57A2A">
        <w:t>ismiss</w:t>
      </w:r>
      <w:r w:rsidR="00597335">
        <w:t xml:space="preserve">.  Instead, Petitioners incorporate that response by reference here and </w:t>
      </w:r>
      <w:r>
        <w:t>respond in brief</w:t>
      </w:r>
      <w:r w:rsidR="00597335">
        <w:t>.</w:t>
      </w:r>
      <w:r w:rsidR="004A41C5" w:rsidRPr="00C57A2A">
        <w:t xml:space="preserve">  </w:t>
      </w:r>
    </w:p>
    <w:p w14:paraId="05AAC79A" w14:textId="3A8D02BB" w:rsidR="004A41C5" w:rsidRPr="003074C5" w:rsidRDefault="00E22A78" w:rsidP="003074C5">
      <w:pPr>
        <w:pStyle w:val="Heading2"/>
        <w:rPr>
          <w:u w:val="single"/>
        </w:rPr>
      </w:pPr>
      <w:bookmarkStart w:id="5" w:name="_Toc479331212"/>
      <w:r w:rsidRPr="003074C5">
        <w:rPr>
          <w:u w:val="single"/>
        </w:rPr>
        <w:t>The District, Not the Contract, Sets the Rates</w:t>
      </w:r>
      <w:bookmarkEnd w:id="5"/>
    </w:p>
    <w:p w14:paraId="7DBFE9FF" w14:textId="5F4F6EBB" w:rsidR="006C0156" w:rsidRDefault="003E4AC2" w:rsidP="003074C5">
      <w:pPr>
        <w:pStyle w:val="BTDFLBodyTextDoubleFLI"/>
      </w:pPr>
      <w:r>
        <w:t>T</w:t>
      </w:r>
      <w:r w:rsidR="00CF334D">
        <w:t>he District</w:t>
      </w:r>
      <w:r>
        <w:t>, not the Contract,</w:t>
      </w:r>
      <w:r w:rsidR="00CF334D">
        <w:t xml:space="preserve"> </w:t>
      </w:r>
      <w:r w:rsidR="00E22A78">
        <w:t>sets</w:t>
      </w:r>
      <w:r w:rsidR="00CF334D">
        <w:t xml:space="preserve"> </w:t>
      </w:r>
      <w:r w:rsidR="00CF334D" w:rsidRPr="00597335">
        <w:t>the</w:t>
      </w:r>
      <w:r w:rsidR="00930DAA" w:rsidRPr="00597335">
        <w:t xml:space="preserve"> rate</w:t>
      </w:r>
      <w:r w:rsidR="00930DAA" w:rsidRPr="00C57A2A">
        <w:t xml:space="preserve"> </w:t>
      </w:r>
      <w:r w:rsidR="00E22A78">
        <w:t>to be paid</w:t>
      </w:r>
      <w:r w:rsidR="006A1A45">
        <w:t xml:space="preserve"> each </w:t>
      </w:r>
      <w:r w:rsidR="00D029AB">
        <w:t xml:space="preserve">fiscal </w:t>
      </w:r>
      <w:r w:rsidR="006A1A45">
        <w:t xml:space="preserve">year. </w:t>
      </w:r>
      <w:r w:rsidR="00E921AA">
        <w:t xml:space="preserve"> </w:t>
      </w:r>
      <w:r w:rsidR="006A1A45">
        <w:t>Specifically, t</w:t>
      </w:r>
      <w:r w:rsidR="00E22A78">
        <w:t xml:space="preserve">he District’s Board sets the </w:t>
      </w:r>
      <w:r w:rsidR="00930DAA" w:rsidRPr="00C57A2A">
        <w:t xml:space="preserve">rate </w:t>
      </w:r>
      <w:r w:rsidR="00597335">
        <w:t xml:space="preserve">each year </w:t>
      </w:r>
      <w:r w:rsidR="006A1A45">
        <w:t>after approving the District’s</w:t>
      </w:r>
      <w:r w:rsidR="00E22A78">
        <w:t xml:space="preserve"> annual budget</w:t>
      </w:r>
      <w:r w:rsidR="00930DAA" w:rsidRPr="00C57A2A">
        <w:t>.</w:t>
      </w:r>
      <w:r w:rsidR="00E22A78">
        <w:rPr>
          <w:rStyle w:val="FootnoteReference"/>
          <w:rFonts w:cs="Times New Roman"/>
        </w:rPr>
        <w:footnoteReference w:id="29"/>
      </w:r>
      <w:r w:rsidR="00930DAA" w:rsidRPr="00C57A2A">
        <w:t xml:space="preserve">  </w:t>
      </w:r>
      <w:r w:rsidR="00E22A78">
        <w:t>To that end, o</w:t>
      </w:r>
      <w:r w:rsidR="004A41C5" w:rsidRPr="00C57A2A">
        <w:t xml:space="preserve">n September 23, 2016, the District notified Petitioners that </w:t>
      </w:r>
      <w:r w:rsidR="006C0156" w:rsidRPr="00C57A2A">
        <w:t xml:space="preserve">its Board had approved the 2016-17 </w:t>
      </w:r>
      <w:proofErr w:type="gramStart"/>
      <w:r w:rsidR="006C0156" w:rsidRPr="00C57A2A">
        <w:t>budget</w:t>
      </w:r>
      <w:proofErr w:type="gramEnd"/>
      <w:r w:rsidR="006C0156" w:rsidRPr="00C57A2A">
        <w:t xml:space="preserve"> and</w:t>
      </w:r>
      <w:r w:rsidR="004A41C5" w:rsidRPr="00C57A2A">
        <w:t xml:space="preserve"> was increasing wholesale water rates from $2.29 to $2.53 per 1,000 gallons.</w:t>
      </w:r>
      <w:r w:rsidR="00597335">
        <w:rPr>
          <w:rStyle w:val="FootnoteReference"/>
          <w:rFonts w:cs="Times New Roman"/>
        </w:rPr>
        <w:footnoteReference w:id="30"/>
      </w:r>
      <w:r w:rsidR="00930DAA" w:rsidRPr="00C57A2A">
        <w:t xml:space="preserve">  </w:t>
      </w:r>
      <w:r w:rsidR="00E22A78">
        <w:t xml:space="preserve">It is this District-imposed rate </w:t>
      </w:r>
      <w:r w:rsidR="00030573">
        <w:t>that Petitioners have appealed</w:t>
      </w:r>
      <w:r w:rsidR="00E22A78">
        <w:t>.</w:t>
      </w:r>
      <w:r w:rsidR="00030573">
        <w:rPr>
          <w:rStyle w:val="FootnoteReference"/>
          <w:rFonts w:cs="Times New Roman"/>
        </w:rPr>
        <w:footnoteReference w:id="31"/>
      </w:r>
      <w:r w:rsidR="00030573">
        <w:t xml:space="preserve">  </w:t>
      </w:r>
      <w:r w:rsidR="006A1A45">
        <w:t xml:space="preserve">Courts and </w:t>
      </w:r>
      <w:r w:rsidR="006C0156" w:rsidRPr="00C57A2A">
        <w:t>administrative agencies,</w:t>
      </w:r>
      <w:r w:rsidR="006A1A45">
        <w:t xml:space="preserve"> including the Commission, </w:t>
      </w:r>
      <w:r w:rsidR="006C0156" w:rsidRPr="00C57A2A">
        <w:t xml:space="preserve">have </w:t>
      </w:r>
      <w:r w:rsidR="00030573">
        <w:t>confirmed the Commission’s jurisdiction to adjudicate such appeals.</w:t>
      </w:r>
    </w:p>
    <w:p w14:paraId="2812C5A9" w14:textId="4EAEA11D" w:rsidR="006C0156" w:rsidRDefault="006C0156" w:rsidP="003074C5">
      <w:pPr>
        <w:pStyle w:val="Heading3"/>
      </w:pPr>
      <w:bookmarkStart w:id="6" w:name="_Toc479331213"/>
      <w:r w:rsidRPr="00030573">
        <w:t>Courts Have Clarified That Rate</w:t>
      </w:r>
      <w:r w:rsidR="000D34E7" w:rsidRPr="00030573">
        <w:t>s Set Pursuant to a Contract Are Distinct from Rates Set in a Contract</w:t>
      </w:r>
      <w:bookmarkEnd w:id="6"/>
      <w:r w:rsidRPr="00C57A2A">
        <w:t xml:space="preserve"> </w:t>
      </w:r>
    </w:p>
    <w:p w14:paraId="075DA1F4" w14:textId="18CFFAA7" w:rsidR="00C04CF8" w:rsidRDefault="000D34E7" w:rsidP="003074C5">
      <w:pPr>
        <w:pStyle w:val="BTDFLBodyTextDoubleFLI"/>
        <w:rPr>
          <w:b/>
          <w:i/>
        </w:rPr>
      </w:pPr>
      <w:r w:rsidRPr="00C57A2A">
        <w:t xml:space="preserve">In </w:t>
      </w:r>
      <w:r w:rsidRPr="00C57A2A">
        <w:rPr>
          <w:i/>
        </w:rPr>
        <w:t>Canyon Regional Water Authority v. Guadalupe-Blanco River Authority</w:t>
      </w:r>
      <w:r w:rsidRPr="00C57A2A">
        <w:t>, the Ca</w:t>
      </w:r>
      <w:r w:rsidR="00D545FA">
        <w:t>nyon Regional Water Authority (“Water Authority”)</w:t>
      </w:r>
      <w:r w:rsidR="00597335">
        <w:t xml:space="preserve"> </w:t>
      </w:r>
      <w:r w:rsidRPr="00C57A2A">
        <w:t>appealed a rate increase imposed by the Guadalupe-Blanco River Authority</w:t>
      </w:r>
      <w:r w:rsidR="00597335" w:rsidRPr="00597335">
        <w:t xml:space="preserve"> </w:t>
      </w:r>
      <w:r w:rsidR="00597335">
        <w:t>under the predecessor rules governing these administrative proceedings</w:t>
      </w:r>
      <w:r w:rsidRPr="00C57A2A">
        <w:t>.</w:t>
      </w:r>
      <w:r w:rsidR="00637E7D" w:rsidRPr="00C57A2A">
        <w:rPr>
          <w:rStyle w:val="FootnoteReference"/>
          <w:rFonts w:cs="Times New Roman"/>
        </w:rPr>
        <w:footnoteReference w:id="32"/>
      </w:r>
      <w:r w:rsidRPr="00C57A2A">
        <w:t xml:space="preserve">  </w:t>
      </w:r>
      <w:r w:rsidR="002942EE">
        <w:t>As in this matter, t</w:t>
      </w:r>
      <w:r w:rsidR="00D545FA">
        <w:t>he Water Authority’s</w:t>
      </w:r>
      <w:r w:rsidR="00030573" w:rsidRPr="00C57A2A">
        <w:t xml:space="preserve"> contract </w:t>
      </w:r>
      <w:r w:rsidR="00847157">
        <w:t>contain</w:t>
      </w:r>
      <w:r w:rsidR="00030573" w:rsidRPr="00C57A2A">
        <w:t xml:space="preserve">ed a rate-setting framework, including annual adjustment provisions, but </w:t>
      </w:r>
      <w:r w:rsidR="00030573">
        <w:t>it</w:t>
      </w:r>
      <w:r w:rsidR="00030573" w:rsidRPr="00C57A2A">
        <w:t xml:space="preserve"> did not </w:t>
      </w:r>
      <w:r w:rsidR="00030573">
        <w:t>set</w:t>
      </w:r>
      <w:r w:rsidR="00030573" w:rsidRPr="00C57A2A">
        <w:t xml:space="preserve"> the rates.</w:t>
      </w:r>
      <w:r w:rsidR="00597335">
        <w:rPr>
          <w:rStyle w:val="FootnoteReference"/>
          <w:rFonts w:cs="Times New Roman"/>
        </w:rPr>
        <w:footnoteReference w:id="33"/>
      </w:r>
      <w:r w:rsidR="00597335">
        <w:t xml:space="preserve"> </w:t>
      </w:r>
      <w:r w:rsidR="00030573" w:rsidRPr="00C57A2A">
        <w:t xml:space="preserve"> </w:t>
      </w:r>
      <w:r w:rsidR="00D545FA">
        <w:t>Be</w:t>
      </w:r>
      <w:r w:rsidRPr="00C57A2A">
        <w:t>cause the contract “</w:t>
      </w:r>
      <w:proofErr w:type="gramStart"/>
      <w:r w:rsidRPr="00C57A2A">
        <w:t>d[</w:t>
      </w:r>
      <w:proofErr w:type="gramEnd"/>
      <w:r w:rsidRPr="00C57A2A">
        <w:t xml:space="preserve">id] not provide a permanent, fixed number,” </w:t>
      </w:r>
      <w:r w:rsidR="00D545FA">
        <w:t>the Water Authority</w:t>
      </w:r>
      <w:r w:rsidRPr="00C57A2A">
        <w:t xml:space="preserve"> argued that the rate </w:t>
      </w:r>
      <w:r w:rsidRPr="00C57A2A">
        <w:lastRenderedPageBreak/>
        <w:t xml:space="preserve">was not </w:t>
      </w:r>
      <w:r w:rsidR="00030573">
        <w:t>set</w:t>
      </w:r>
      <w:r w:rsidRPr="00C57A2A">
        <w:t xml:space="preserve"> pursuant to the contract.</w:t>
      </w:r>
      <w:r w:rsidR="00597335">
        <w:rPr>
          <w:rStyle w:val="FootnoteReference"/>
          <w:rFonts w:cs="Times New Roman"/>
        </w:rPr>
        <w:footnoteReference w:id="34"/>
      </w:r>
      <w:r w:rsidRPr="00C57A2A">
        <w:t xml:space="preserve">  </w:t>
      </w:r>
      <w:r w:rsidR="003E4AC2">
        <w:t>In holding that a publ</w:t>
      </w:r>
      <w:r w:rsidR="002C47E9">
        <w:t>ic interest hearing on the rate</w:t>
      </w:r>
      <w:r w:rsidR="003E4AC2">
        <w:t xml:space="preserve"> was necessary</w:t>
      </w:r>
      <w:r w:rsidR="002C47E9">
        <w:t xml:space="preserve"> </w:t>
      </w:r>
      <w:r w:rsidR="00E20125">
        <w:t>and that</w:t>
      </w:r>
      <w:r w:rsidR="002C47E9">
        <w:t xml:space="preserve"> such rate was set pursuant to the contract</w:t>
      </w:r>
      <w:r w:rsidR="003E4AC2">
        <w:t xml:space="preserve">, </w:t>
      </w:r>
      <w:r w:rsidR="00597335">
        <w:t>the court</w:t>
      </w:r>
      <w:r w:rsidR="00D545FA">
        <w:t xml:space="preserve"> distinguished between </w:t>
      </w:r>
      <w:r w:rsidR="002C47E9">
        <w:t xml:space="preserve">rates set in a contract and </w:t>
      </w:r>
      <w:r w:rsidR="00D545FA">
        <w:t>rate</w:t>
      </w:r>
      <w:r w:rsidR="002C47E9">
        <w:t>s set pursuant to a contract</w:t>
      </w:r>
      <w:r w:rsidR="00D545FA">
        <w:t>, explaining that</w:t>
      </w:r>
      <w:r w:rsidR="00597335">
        <w:t xml:space="preserve"> “</w:t>
      </w:r>
      <w:r w:rsidR="00D545FA">
        <w:t>[w]</w:t>
      </w:r>
      <w:proofErr w:type="spellStart"/>
      <w:r w:rsidRPr="00C57A2A">
        <w:t>hile</w:t>
      </w:r>
      <w:proofErr w:type="spellEnd"/>
      <w:r w:rsidRPr="00C57A2A">
        <w:t xml:space="preserve"> many written contracts contain a fixed price, some contracts contain a pricing scheme that is commonly known as an ‘open term price.’”</w:t>
      </w:r>
      <w:r w:rsidR="00597335">
        <w:rPr>
          <w:rStyle w:val="FootnoteReference"/>
          <w:rFonts w:cs="Times New Roman"/>
        </w:rPr>
        <w:footnoteReference w:id="35"/>
      </w:r>
      <w:r w:rsidRPr="00C57A2A">
        <w:t xml:space="preserve">  </w:t>
      </w:r>
      <w:r w:rsidR="00D545FA">
        <w:t>Thus, the District’s argument that Petitioners’ rate appeal “necessarily challenges the contract”</w:t>
      </w:r>
      <w:r w:rsidR="00D545FA">
        <w:rPr>
          <w:rStyle w:val="FootnoteReference"/>
          <w:rFonts w:cs="Times New Roman"/>
        </w:rPr>
        <w:footnoteReference w:id="36"/>
      </w:r>
      <w:r w:rsidR="00D545FA">
        <w:t xml:space="preserve"> is simply wrong.</w:t>
      </w:r>
      <w:r w:rsidR="000A68D0">
        <w:rPr>
          <w:rStyle w:val="FootnoteReference"/>
          <w:rFonts w:cs="Times New Roman"/>
        </w:rPr>
        <w:footnoteReference w:id="37"/>
      </w:r>
    </w:p>
    <w:p w14:paraId="001989E8" w14:textId="1C67C5EE" w:rsidR="00030573" w:rsidRDefault="00637E7D" w:rsidP="003074C5">
      <w:pPr>
        <w:pStyle w:val="Heading3"/>
      </w:pPr>
      <w:bookmarkStart w:id="7" w:name="_Toc479331214"/>
      <w:r w:rsidRPr="00030573">
        <w:t xml:space="preserve">Courts Have </w:t>
      </w:r>
      <w:r w:rsidR="00D545FA">
        <w:t xml:space="preserve">Confirmed That </w:t>
      </w:r>
      <w:r w:rsidR="00B66C92">
        <w:t xml:space="preserve">Reviewing </w:t>
      </w:r>
      <w:r w:rsidRPr="00030573">
        <w:t>Wholesale Water Rates Set Pursuant to a Contract</w:t>
      </w:r>
      <w:r w:rsidR="003E4AC2">
        <w:t xml:space="preserve"> </w:t>
      </w:r>
      <w:r w:rsidR="00B66C92">
        <w:t>Is</w:t>
      </w:r>
      <w:r w:rsidR="003E4AC2">
        <w:t xml:space="preserve"> Not </w:t>
      </w:r>
      <w:r w:rsidR="00B66C92">
        <w:t>a Challenge to the Contract</w:t>
      </w:r>
      <w:bookmarkEnd w:id="7"/>
    </w:p>
    <w:p w14:paraId="7826523A" w14:textId="3C1609C1" w:rsidR="00073F5E" w:rsidRPr="00C57A2A" w:rsidRDefault="00637E7D" w:rsidP="003074C5">
      <w:pPr>
        <w:pStyle w:val="BTDFLBodyTextDoubleFLI"/>
      </w:pPr>
      <w:r w:rsidRPr="00C57A2A">
        <w:t>In</w:t>
      </w:r>
      <w:r w:rsidR="000B4ECE">
        <w:t xml:space="preserve"> the seminal case </w:t>
      </w:r>
      <w:r w:rsidR="00D545FA">
        <w:t>precipitating</w:t>
      </w:r>
      <w:r w:rsidR="000B4ECE">
        <w:t xml:space="preserve"> the rules governing these proceedings,</w:t>
      </w:r>
      <w:r w:rsidRPr="00C57A2A">
        <w:t xml:space="preserve"> </w:t>
      </w:r>
      <w:r w:rsidR="000B4ECE">
        <w:t xml:space="preserve">the City of </w:t>
      </w:r>
      <w:r w:rsidRPr="00C57A2A">
        <w:t xml:space="preserve">Fort Worth </w:t>
      </w:r>
      <w:r w:rsidR="00D545FA">
        <w:t>made an argument similar to the District’s</w:t>
      </w:r>
      <w:r w:rsidR="00F11181">
        <w:t xml:space="preserve">, </w:t>
      </w:r>
      <w:r w:rsidR="00A02009">
        <w:t>claim</w:t>
      </w:r>
      <w:r w:rsidR="00D545FA">
        <w:t>ing that the Texas Water</w:t>
      </w:r>
      <w:r w:rsidRPr="00C57A2A">
        <w:t xml:space="preserve"> Commission </w:t>
      </w:r>
      <w:r w:rsidR="00D029AB">
        <w:t xml:space="preserve">could not alter a rate set by </w:t>
      </w:r>
      <w:r w:rsidRPr="00C57A2A">
        <w:t>contract between two cities “because Section 791.026 of the Texas Government Code … places such contract rates beyond the Commission’s jurisdiction.”</w:t>
      </w:r>
      <w:r w:rsidRPr="00C57A2A">
        <w:rPr>
          <w:rStyle w:val="FootnoteReference"/>
          <w:rFonts w:cs="Times New Roman"/>
        </w:rPr>
        <w:footnoteReference w:id="38"/>
      </w:r>
      <w:r w:rsidR="003308AC">
        <w:t xml:space="preserve">  </w:t>
      </w:r>
      <w:r w:rsidRPr="00C57A2A">
        <w:t xml:space="preserve">The Third Court </w:t>
      </w:r>
      <w:r w:rsidR="00030573">
        <w:t xml:space="preserve">of Appeals </w:t>
      </w:r>
      <w:r w:rsidR="003308AC">
        <w:t>rejected the argument and confirmed</w:t>
      </w:r>
      <w:r w:rsidR="00030573">
        <w:t xml:space="preserve"> that </w:t>
      </w:r>
      <w:r w:rsidR="000A68D0">
        <w:t xml:space="preserve">(1) </w:t>
      </w:r>
      <w:r w:rsidR="00030573">
        <w:t>“[t]</w:t>
      </w:r>
      <w:r w:rsidRPr="00C57A2A">
        <w:t xml:space="preserve">he </w:t>
      </w:r>
      <w:r w:rsidR="000A68D0">
        <w:t xml:space="preserve">[Texas] </w:t>
      </w:r>
      <w:r w:rsidRPr="00C57A2A">
        <w:t>Water Code gives the Commission jurisdiction over contractual rates,</w:t>
      </w:r>
      <w:r w:rsidR="00030573">
        <w:t xml:space="preserve">” </w:t>
      </w:r>
      <w:r w:rsidR="000A68D0">
        <w:t xml:space="preserve">(2) </w:t>
      </w:r>
      <w:r w:rsidR="008655E1">
        <w:t xml:space="preserve">Section 13.043(f) of the </w:t>
      </w:r>
      <w:r w:rsidRPr="00C57A2A">
        <w:t>Texas Water Code “does not violate the constitutional limitation on laws affecting contractual obligations</w:t>
      </w:r>
      <w:r w:rsidR="00030573">
        <w:t>,”</w:t>
      </w:r>
      <w:r w:rsidR="00BB0434">
        <w:t xml:space="preserve"> </w:t>
      </w:r>
      <w:r w:rsidR="000A68D0">
        <w:t>(3)</w:t>
      </w:r>
      <w:r w:rsidRPr="00C57A2A">
        <w:t xml:space="preserve"> </w:t>
      </w:r>
      <w:r w:rsidR="00030573">
        <w:t>“</w:t>
      </w:r>
      <w:r w:rsidRPr="00C57A2A">
        <w:t>Texas courts have reaffirmed the constitutionality of agency review of reasonableness of contractual rates where the pub</w:t>
      </w:r>
      <w:r w:rsidR="00030573">
        <w:t xml:space="preserve">lic interest is affected,” and </w:t>
      </w:r>
      <w:r w:rsidR="000A68D0">
        <w:t xml:space="preserve">(4) </w:t>
      </w:r>
      <w:r w:rsidR="00030573">
        <w:t>Section 13.043(f)</w:t>
      </w:r>
      <w:r w:rsidR="00A37BAB">
        <w:t xml:space="preserve"> </w:t>
      </w:r>
      <w:r w:rsidR="008655E1">
        <w:t xml:space="preserve">of the Texas Water Code </w:t>
      </w:r>
      <w:r w:rsidR="00030573">
        <w:t>“</w:t>
      </w:r>
      <w:r w:rsidRPr="00C57A2A">
        <w:t>does not impair any existing contractual obligation; it merely provides that the Commission may review decisions affecting water and sewer rates.”</w:t>
      </w:r>
      <w:r w:rsidR="00A02009">
        <w:rPr>
          <w:rStyle w:val="FootnoteReference"/>
          <w:rFonts w:cs="Times New Roman"/>
        </w:rPr>
        <w:footnoteReference w:id="39"/>
      </w:r>
    </w:p>
    <w:p w14:paraId="5600F89E" w14:textId="5421009E" w:rsidR="000162B9" w:rsidRDefault="00432842" w:rsidP="003074C5">
      <w:pPr>
        <w:pStyle w:val="Heading3"/>
      </w:pPr>
      <w:bookmarkStart w:id="8" w:name="_Toc479331215"/>
      <w:r>
        <w:t>In</w:t>
      </w:r>
      <w:r w:rsidR="00637E7D" w:rsidRPr="00030573">
        <w:t xml:space="preserve"> the Preamble to the </w:t>
      </w:r>
      <w:r w:rsidR="003308AC">
        <w:t xml:space="preserve">Governing </w:t>
      </w:r>
      <w:r>
        <w:t xml:space="preserve">Rules </w:t>
      </w:r>
      <w:r w:rsidR="00637E7D" w:rsidRPr="00030573">
        <w:t xml:space="preserve">Challenged </w:t>
      </w:r>
      <w:r>
        <w:t>by the District</w:t>
      </w:r>
      <w:r w:rsidR="00073F5E">
        <w:t>,</w:t>
      </w:r>
      <w:r>
        <w:t xml:space="preserve"> the Texas Water Commission </w:t>
      </w:r>
      <w:r w:rsidR="003308AC">
        <w:t xml:space="preserve">Confirmed </w:t>
      </w:r>
      <w:r w:rsidR="00A57A81">
        <w:t>That Review of Rates Set Pursuant to a Contract Is Not a Challenge to the Contract</w:t>
      </w:r>
      <w:bookmarkEnd w:id="8"/>
    </w:p>
    <w:p w14:paraId="759C19C9" w14:textId="674F6901" w:rsidR="006049BB" w:rsidRPr="00572EF8" w:rsidRDefault="00030573" w:rsidP="003074C5">
      <w:pPr>
        <w:pStyle w:val="BTDFLBodyTextDoubleFLI"/>
      </w:pPr>
      <w:r>
        <w:t xml:space="preserve">In the wake of the </w:t>
      </w:r>
      <w:r w:rsidRPr="00030573">
        <w:rPr>
          <w:i/>
        </w:rPr>
        <w:t>City of Fort Worth</w:t>
      </w:r>
      <w:r>
        <w:t xml:space="preserve"> decision</w:t>
      </w:r>
      <w:r w:rsidR="00572EF8">
        <w:t>, the Texas W</w:t>
      </w:r>
      <w:r w:rsidR="003308AC">
        <w:t xml:space="preserve">ater Commission promulgated </w:t>
      </w:r>
      <w:r w:rsidR="00572EF8">
        <w:t>rules</w:t>
      </w:r>
      <w:r w:rsidR="000B4ECE">
        <w:t xml:space="preserve"> </w:t>
      </w:r>
      <w:r w:rsidR="003308AC">
        <w:t xml:space="preserve">to govern wholesale water rate appeals </w:t>
      </w:r>
      <w:r w:rsidR="00572EF8">
        <w:t xml:space="preserve">that the District now challenges.  </w:t>
      </w:r>
      <w:r w:rsidR="003308AC">
        <w:t xml:space="preserve">In </w:t>
      </w:r>
      <w:r w:rsidR="003308AC">
        <w:lastRenderedPageBreak/>
        <w:t>response to comments on the rule package, t</w:t>
      </w:r>
      <w:r w:rsidR="00572EF8">
        <w:t xml:space="preserve">he Texas Water </w:t>
      </w:r>
      <w:r w:rsidR="000B4ECE">
        <w:t xml:space="preserve">Commission rejected </w:t>
      </w:r>
      <w:r w:rsidR="003308AC">
        <w:t>those who questioned its</w:t>
      </w:r>
      <w:r w:rsidR="00572EF8">
        <w:t xml:space="preserve"> constitutional and statutory authority to promulgate the rules</w:t>
      </w:r>
      <w:r w:rsidR="003308AC">
        <w:t>, stating that</w:t>
      </w:r>
      <w:r w:rsidR="00572EF8">
        <w:t xml:space="preserve"> “[t]</w:t>
      </w:r>
      <w:r w:rsidR="00637E7D" w:rsidRPr="00572EF8">
        <w:t>he courts continue to recognize the commission’s jurisdiction in these matters and have reconciled that jurisdiction with the argument that commission review interferes with a constitutional right of contract.”</w:t>
      </w:r>
      <w:r w:rsidR="003308AC">
        <w:rPr>
          <w:rStyle w:val="FootnoteReference"/>
          <w:rFonts w:cs="Times New Roman"/>
        </w:rPr>
        <w:footnoteReference w:id="40"/>
      </w:r>
      <w:r w:rsidR="003308AC">
        <w:t xml:space="preserve">  Like the court in </w:t>
      </w:r>
      <w:r w:rsidR="003308AC">
        <w:rPr>
          <w:i/>
        </w:rPr>
        <w:t>Canyon Regional</w:t>
      </w:r>
      <w:r w:rsidR="002F0B0A">
        <w:rPr>
          <w:i/>
        </w:rPr>
        <w:t xml:space="preserve"> Water Authority</w:t>
      </w:r>
      <w:r w:rsidR="003308AC">
        <w:t>,</w:t>
      </w:r>
      <w:r w:rsidR="003308AC">
        <w:rPr>
          <w:i/>
        </w:rPr>
        <w:t xml:space="preserve"> </w:t>
      </w:r>
      <w:r w:rsidR="003308AC">
        <w:t>t</w:t>
      </w:r>
      <w:r w:rsidR="00572EF8">
        <w:t xml:space="preserve">he Texas Water Commission </w:t>
      </w:r>
      <w:r w:rsidR="003308AC">
        <w:t>supported its statement by distinguishing</w:t>
      </w:r>
      <w:r w:rsidR="00572EF8">
        <w:t xml:space="preserve"> rates </w:t>
      </w:r>
      <w:r w:rsidR="00E20125">
        <w:t>set</w:t>
      </w:r>
      <w:r w:rsidR="00572EF8">
        <w:t xml:space="preserve"> in a contract </w:t>
      </w:r>
      <w:r w:rsidR="003308AC">
        <w:t>from</w:t>
      </w:r>
      <w:r w:rsidR="00572EF8">
        <w:t xml:space="preserve"> those set pursuant to a contract: “[R]</w:t>
      </w:r>
      <w:proofErr w:type="spellStart"/>
      <w:r w:rsidR="00637E7D" w:rsidRPr="00572EF8">
        <w:t>ates</w:t>
      </w:r>
      <w:proofErr w:type="spellEnd"/>
      <w:r w:rsidR="00637E7D" w:rsidRPr="00572EF8">
        <w:t xml:space="preserve"> set forth in a contract do not generally give rise to appeals before the commission.  It is those rates demanded </w:t>
      </w:r>
      <w:r w:rsidR="00637E7D" w:rsidRPr="00572EF8">
        <w:rPr>
          <w:i/>
        </w:rPr>
        <w:t>pursuant</w:t>
      </w:r>
      <w:r w:rsidR="00637E7D" w:rsidRPr="00572EF8">
        <w:t xml:space="preserve"> to a contract that are usually appealed.”</w:t>
      </w:r>
      <w:r w:rsidR="003308AC">
        <w:rPr>
          <w:rStyle w:val="FootnoteReference"/>
          <w:rFonts w:cs="Times New Roman"/>
        </w:rPr>
        <w:footnoteReference w:id="41"/>
      </w:r>
      <w:r w:rsidR="00637E7D" w:rsidRPr="00572EF8">
        <w:t xml:space="preserve"> </w:t>
      </w:r>
    </w:p>
    <w:p w14:paraId="6607E1BC" w14:textId="26DC5CE7" w:rsidR="00030573" w:rsidRDefault="00A57A81" w:rsidP="003074C5">
      <w:pPr>
        <w:pStyle w:val="Heading3"/>
      </w:pPr>
      <w:bookmarkStart w:id="9" w:name="_Toc479331216"/>
      <w:r>
        <w:t>The Commission Has Ruled</w:t>
      </w:r>
      <w:r w:rsidR="00637E7D" w:rsidRPr="00030573">
        <w:t xml:space="preserve"> </w:t>
      </w:r>
      <w:r w:rsidR="00572EF8">
        <w:t>T</w:t>
      </w:r>
      <w:r w:rsidR="00637E7D" w:rsidRPr="00030573">
        <w:t xml:space="preserve">hat </w:t>
      </w:r>
      <w:r w:rsidR="00D029AB">
        <w:t>Reviewing</w:t>
      </w:r>
      <w:r w:rsidR="00572EF8">
        <w:t xml:space="preserve"> </w:t>
      </w:r>
      <w:r w:rsidR="00637E7D" w:rsidRPr="00030573">
        <w:t xml:space="preserve">Rates Set </w:t>
      </w:r>
      <w:r w:rsidR="00226F7E">
        <w:t xml:space="preserve">By Municipal Ordinance </w:t>
      </w:r>
      <w:r w:rsidR="00572EF8">
        <w:t xml:space="preserve">Is Not </w:t>
      </w:r>
      <w:r>
        <w:t>a Challenge to</w:t>
      </w:r>
      <w:r w:rsidR="00572EF8">
        <w:t xml:space="preserve"> the </w:t>
      </w:r>
      <w:r w:rsidR="00226F7E">
        <w:t xml:space="preserve">Underlying </w:t>
      </w:r>
      <w:r w:rsidR="00572EF8">
        <w:t>Contract</w:t>
      </w:r>
      <w:bookmarkEnd w:id="9"/>
      <w:r w:rsidR="00637E7D" w:rsidRPr="00030573">
        <w:t xml:space="preserve"> </w:t>
      </w:r>
    </w:p>
    <w:p w14:paraId="0469E9CC" w14:textId="76E4B16C" w:rsidR="004A41C5" w:rsidRDefault="003308AC" w:rsidP="003074C5">
      <w:pPr>
        <w:pStyle w:val="BTDFLBodyTextDoubleFLI"/>
      </w:pPr>
      <w:r>
        <w:t>Various</w:t>
      </w:r>
      <w:r w:rsidR="00C57A2A" w:rsidRPr="00C57A2A">
        <w:t xml:space="preserve"> utility districts </w:t>
      </w:r>
      <w:r>
        <w:t xml:space="preserve">recently </w:t>
      </w:r>
      <w:r w:rsidR="00C57A2A" w:rsidRPr="00C57A2A">
        <w:t>appealed water rates imposed by the City of Austin.</w:t>
      </w:r>
      <w:r w:rsidR="000B4ECE">
        <w:rPr>
          <w:rStyle w:val="FootnoteReference"/>
          <w:rFonts w:cs="Times New Roman"/>
        </w:rPr>
        <w:footnoteReference w:id="42"/>
      </w:r>
      <w:r w:rsidR="00C57A2A" w:rsidRPr="00C57A2A">
        <w:t xml:space="preserve">  </w:t>
      </w:r>
      <w:r w:rsidR="000A68D0">
        <w:t>As in this matter</w:t>
      </w:r>
      <w:r w:rsidR="00572EF8">
        <w:t>, a</w:t>
      </w:r>
      <w:r w:rsidR="00C57A2A" w:rsidRPr="00C57A2A">
        <w:t xml:space="preserve"> contract governed the City’s relationship with the utility districts</w:t>
      </w:r>
      <w:r>
        <w:t xml:space="preserve"> and</w:t>
      </w:r>
      <w:r w:rsidR="00C57A2A" w:rsidRPr="00C57A2A">
        <w:t xml:space="preserve"> </w:t>
      </w:r>
      <w:r w:rsidR="000B4ECE">
        <w:t xml:space="preserve">the </w:t>
      </w:r>
      <w:r w:rsidR="00C57A2A" w:rsidRPr="00C57A2A">
        <w:t xml:space="preserve">water rates were </w:t>
      </w:r>
      <w:r>
        <w:t xml:space="preserve">not set in the contract but were set </w:t>
      </w:r>
      <w:r w:rsidR="000B4ECE">
        <w:t>each year by</w:t>
      </w:r>
      <w:r w:rsidR="00C57A2A" w:rsidRPr="00C57A2A">
        <w:t xml:space="preserve"> municipal ordinance </w:t>
      </w:r>
      <w:r w:rsidR="000B4ECE">
        <w:t>following the</w:t>
      </w:r>
      <w:r w:rsidR="00C57A2A" w:rsidRPr="00C57A2A">
        <w:t xml:space="preserve"> city’s </w:t>
      </w:r>
      <w:r w:rsidR="000B4ECE">
        <w:t xml:space="preserve">annual </w:t>
      </w:r>
      <w:r w:rsidR="00C57A2A" w:rsidRPr="00C57A2A">
        <w:t>budget-setting process.</w:t>
      </w:r>
      <w:r w:rsidR="000B4ECE">
        <w:rPr>
          <w:rStyle w:val="FootnoteReference"/>
          <w:rFonts w:cs="Times New Roman"/>
        </w:rPr>
        <w:footnoteReference w:id="43"/>
      </w:r>
      <w:r w:rsidR="00C57A2A" w:rsidRPr="00C57A2A">
        <w:t xml:space="preserve">  </w:t>
      </w:r>
      <w:r w:rsidR="00572EF8">
        <w:t xml:space="preserve">The City of Austin contended that the rates </w:t>
      </w:r>
      <w:r w:rsidR="000B4ECE">
        <w:t>being challenged</w:t>
      </w:r>
      <w:r w:rsidR="00572EF8">
        <w:t xml:space="preserve"> were “a matter of contract between the city and each petitioner.”</w:t>
      </w:r>
      <w:r w:rsidR="000B4ECE">
        <w:rPr>
          <w:rStyle w:val="FootnoteReference"/>
          <w:rFonts w:cs="Times New Roman"/>
        </w:rPr>
        <w:footnoteReference w:id="44"/>
      </w:r>
      <w:r>
        <w:t xml:space="preserve">  T</w:t>
      </w:r>
      <w:r w:rsidR="00C57A2A" w:rsidRPr="00C57A2A">
        <w:t>he Commission</w:t>
      </w:r>
      <w:r w:rsidR="00572EF8">
        <w:t xml:space="preserve"> disagreed, </w:t>
      </w:r>
      <w:r>
        <w:t>ruling</w:t>
      </w:r>
      <w:r w:rsidR="00572EF8">
        <w:t xml:space="preserve"> that </w:t>
      </w:r>
      <w:r w:rsidR="00637E7D" w:rsidRPr="00C57A2A">
        <w:t xml:space="preserve">the rates </w:t>
      </w:r>
      <w:r w:rsidR="00572EF8">
        <w:t>appealed were</w:t>
      </w:r>
      <w:r w:rsidR="00637E7D" w:rsidRPr="00C57A2A">
        <w:t xml:space="preserve"> set by municipal ordinance</w:t>
      </w:r>
      <w:r>
        <w:t xml:space="preserve"> and so </w:t>
      </w:r>
      <w:r w:rsidR="00572EF8">
        <w:t>“</w:t>
      </w:r>
      <w:r w:rsidR="00637E7D" w:rsidRPr="00C57A2A">
        <w:t xml:space="preserve">the subject of this appeal is not a matter of contract but is the city’s rate ordinance that </w:t>
      </w:r>
      <w:r w:rsidR="00F257C9">
        <w:t>imposes the subject rates on</w:t>
      </w:r>
      <w:r w:rsidR="00637E7D" w:rsidRPr="00C57A2A">
        <w:t xml:space="preserve"> petition</w:t>
      </w:r>
      <w:r w:rsidR="00572EF8">
        <w:t>ers” and,</w:t>
      </w:r>
      <w:r w:rsidR="00C57A2A" w:rsidRPr="00C57A2A">
        <w:t xml:space="preserve"> </w:t>
      </w:r>
      <w:r w:rsidR="00572EF8">
        <w:t>therefore,</w:t>
      </w:r>
      <w:r w:rsidR="00C57A2A" w:rsidRPr="00C57A2A">
        <w:t xml:space="preserve"> </w:t>
      </w:r>
      <w:r w:rsidR="00572EF8">
        <w:t>“</w:t>
      </w:r>
      <w:r w:rsidR="00C57A2A" w:rsidRPr="00C57A2A">
        <w:t>the issues of whether the</w:t>
      </w:r>
      <w:r w:rsidR="00F257C9">
        <w:t>re is an impairment of contract</w:t>
      </w:r>
      <w:r w:rsidR="00C57A2A" w:rsidRPr="00C57A2A">
        <w:t xml:space="preserve"> or</w:t>
      </w:r>
      <w:r w:rsidR="00F257C9">
        <w:t>,</w:t>
      </w:r>
      <w:r w:rsidR="00C57A2A" w:rsidRPr="00C57A2A">
        <w:t xml:space="preserve"> even if an impairment exists whether such impairment is constitutionally prohibited, are not implicated in these appeals.”</w:t>
      </w:r>
      <w:r w:rsidR="00C57A2A" w:rsidRPr="00C57A2A">
        <w:rPr>
          <w:rStyle w:val="FootnoteReference"/>
          <w:rFonts w:cs="Times New Roman"/>
        </w:rPr>
        <w:footnoteReference w:id="45"/>
      </w:r>
    </w:p>
    <w:p w14:paraId="12F8A937" w14:textId="5210F582" w:rsidR="00572EF8" w:rsidRPr="003074C5" w:rsidRDefault="00073F5E" w:rsidP="003074C5">
      <w:pPr>
        <w:pStyle w:val="Heading2"/>
        <w:rPr>
          <w:i/>
          <w:u w:val="single"/>
        </w:rPr>
      </w:pPr>
      <w:bookmarkStart w:id="10" w:name="_Toc479331217"/>
      <w:r w:rsidRPr="003074C5">
        <w:rPr>
          <w:u w:val="single"/>
        </w:rPr>
        <w:t>Additional</w:t>
      </w:r>
      <w:r w:rsidR="00877707" w:rsidRPr="003074C5">
        <w:rPr>
          <w:u w:val="single"/>
        </w:rPr>
        <w:t xml:space="preserve"> </w:t>
      </w:r>
      <w:r w:rsidR="00572EF8" w:rsidRPr="003074C5">
        <w:rPr>
          <w:u w:val="single"/>
        </w:rPr>
        <w:t xml:space="preserve">Case Law </w:t>
      </w:r>
      <w:r w:rsidR="00432842" w:rsidRPr="003074C5">
        <w:rPr>
          <w:u w:val="single"/>
        </w:rPr>
        <w:t xml:space="preserve">Cited by the District </w:t>
      </w:r>
      <w:r w:rsidR="00572EF8" w:rsidRPr="003074C5">
        <w:rPr>
          <w:u w:val="single"/>
        </w:rPr>
        <w:t xml:space="preserve">Is </w:t>
      </w:r>
      <w:r w:rsidR="00A57A81" w:rsidRPr="003074C5">
        <w:rPr>
          <w:u w:val="single"/>
        </w:rPr>
        <w:t xml:space="preserve">Irrelevant to </w:t>
      </w:r>
      <w:r w:rsidR="00877707" w:rsidRPr="003074C5">
        <w:rPr>
          <w:u w:val="single"/>
        </w:rPr>
        <w:t xml:space="preserve">this Case, and in Fact Is </w:t>
      </w:r>
      <w:r w:rsidR="00A57A81" w:rsidRPr="003074C5">
        <w:rPr>
          <w:u w:val="single"/>
        </w:rPr>
        <w:t xml:space="preserve">Supportive of </w:t>
      </w:r>
      <w:r w:rsidR="00572EF8" w:rsidRPr="003074C5">
        <w:rPr>
          <w:u w:val="single"/>
        </w:rPr>
        <w:t>the Commission’s Jurisdiction</w:t>
      </w:r>
      <w:bookmarkEnd w:id="10"/>
    </w:p>
    <w:p w14:paraId="5EBCCBC6" w14:textId="70CB6D0F" w:rsidR="00572EF8" w:rsidRDefault="003308AC" w:rsidP="003074C5">
      <w:pPr>
        <w:pStyle w:val="BTDFLBodyTextDoubleFLI"/>
      </w:pPr>
      <w:r>
        <w:t>Disregarding</w:t>
      </w:r>
      <w:r w:rsidR="00572EF8">
        <w:t xml:space="preserve"> the overwhelming weight of authority discussed above, the District in its </w:t>
      </w:r>
      <w:r w:rsidR="003E4AC2">
        <w:t>“</w:t>
      </w:r>
      <w:r w:rsidR="00572EF8">
        <w:t>re-urged</w:t>
      </w:r>
      <w:r w:rsidR="003E4AC2">
        <w:t>”</w:t>
      </w:r>
      <w:r w:rsidR="00572EF8">
        <w:t xml:space="preserve"> motion informed the presiding officer that the “jurisdictional question currently </w:t>
      </w:r>
      <w:r w:rsidR="00572EF8">
        <w:lastRenderedPageBreak/>
        <w:t>before the Commission has been considered and resolved previously by the Austin Court of Appeals, and the Court of Appeals’ opinion in that case—</w:t>
      </w:r>
      <w:r w:rsidR="00572EF8">
        <w:rPr>
          <w:i/>
        </w:rPr>
        <w:t xml:space="preserve">Leonard v. </w:t>
      </w:r>
      <w:proofErr w:type="spellStart"/>
      <w:r w:rsidR="00572EF8">
        <w:rPr>
          <w:i/>
        </w:rPr>
        <w:t>Cornyn</w:t>
      </w:r>
      <w:proofErr w:type="spellEnd"/>
      <w:r w:rsidR="00572EF8">
        <w:t>—is dispositive of this matter.”</w:t>
      </w:r>
      <w:r w:rsidR="000B4ECE">
        <w:rPr>
          <w:rStyle w:val="FootnoteReference"/>
        </w:rPr>
        <w:footnoteReference w:id="46"/>
      </w:r>
      <w:r w:rsidR="00572EF8">
        <w:t xml:space="preserve">  But </w:t>
      </w:r>
      <w:proofErr w:type="spellStart"/>
      <w:r w:rsidR="00A33898">
        <w:t>its</w:t>
      </w:r>
      <w:proofErr w:type="spellEnd"/>
      <w:r w:rsidR="00572EF8">
        <w:t xml:space="preserve"> very next sentence confirms the irrelevance of that case: “</w:t>
      </w:r>
      <w:r w:rsidR="00572EF8">
        <w:rPr>
          <w:i/>
        </w:rPr>
        <w:t xml:space="preserve">Leonard v. </w:t>
      </w:r>
      <w:proofErr w:type="spellStart"/>
      <w:r w:rsidR="00572EF8">
        <w:rPr>
          <w:i/>
        </w:rPr>
        <w:t>Cornyn</w:t>
      </w:r>
      <w:proofErr w:type="spellEnd"/>
      <w:r w:rsidR="00572EF8">
        <w:t xml:space="preserve"> concerned a district court </w:t>
      </w:r>
      <w:r w:rsidR="00572EF8" w:rsidRPr="00A33898">
        <w:rPr>
          <w:i/>
        </w:rPr>
        <w:t>contest of bond issuance</w:t>
      </w:r>
      <w:r w:rsidR="00572EF8">
        <w:t xml:space="preserve"> by the City of Houston and Harris County.”</w:t>
      </w:r>
      <w:r w:rsidR="000B4ECE">
        <w:rPr>
          <w:rStyle w:val="FootnoteReference"/>
        </w:rPr>
        <w:footnoteReference w:id="47"/>
      </w:r>
      <w:r w:rsidR="00572EF8">
        <w:t xml:space="preserve">  Petitioners have contested the District’s rates, not </w:t>
      </w:r>
      <w:r w:rsidR="00877707">
        <w:t xml:space="preserve">the </w:t>
      </w:r>
      <w:r w:rsidR="00572EF8">
        <w:t>bonds</w:t>
      </w:r>
      <w:r w:rsidR="0044387A">
        <w:t xml:space="preserve"> </w:t>
      </w:r>
      <w:r w:rsidR="00877707">
        <w:t>it has issued</w:t>
      </w:r>
      <w:r w:rsidR="00572EF8">
        <w:t xml:space="preserve">. </w:t>
      </w:r>
    </w:p>
    <w:p w14:paraId="2D607DD3" w14:textId="4723C1A6" w:rsidR="00030573" w:rsidRPr="00537042" w:rsidRDefault="003308AC" w:rsidP="003074C5">
      <w:pPr>
        <w:pStyle w:val="BTDFLBodyTextDoubleFLI"/>
      </w:pPr>
      <w:r>
        <w:t>However, t</w:t>
      </w:r>
      <w:r w:rsidR="00572EF8">
        <w:t>he court</w:t>
      </w:r>
      <w:r w:rsidR="00537042">
        <w:t xml:space="preserve"> in that case</w:t>
      </w:r>
      <w:r>
        <w:t xml:space="preserve"> did</w:t>
      </w:r>
      <w:r w:rsidR="00537042">
        <w:t xml:space="preserve"> </w:t>
      </w:r>
      <w:r w:rsidR="00877707">
        <w:t xml:space="preserve">correctly </w:t>
      </w:r>
      <w:r w:rsidR="00572EF8">
        <w:t>h</w:t>
      </w:r>
      <w:r>
        <w:t>old</w:t>
      </w:r>
      <w:r w:rsidR="00572EF8">
        <w:t xml:space="preserve"> that “[t]he intended meaning of the statute is about as plain as words can make it.”</w:t>
      </w:r>
      <w:r w:rsidR="000B4ECE">
        <w:rPr>
          <w:rStyle w:val="FootnoteReference"/>
        </w:rPr>
        <w:footnoteReference w:id="48"/>
      </w:r>
      <w:r w:rsidR="00537042">
        <w:t xml:space="preserve">  </w:t>
      </w:r>
      <w:r w:rsidR="00877707">
        <w:t xml:space="preserve">This holding could not </w:t>
      </w:r>
      <w:r w:rsidR="00537042">
        <w:t xml:space="preserve">be more true </w:t>
      </w:r>
      <w:r w:rsidR="00877707">
        <w:t xml:space="preserve">when applied to </w:t>
      </w:r>
      <w:r w:rsidR="008655E1">
        <w:t>Section 13.043(f) of the Texas Water Code</w:t>
      </w:r>
      <w:r w:rsidR="00537042">
        <w:t xml:space="preserve">, which unambiguously </w:t>
      </w:r>
      <w:r w:rsidR="00030573" w:rsidRPr="00C57A2A">
        <w:rPr>
          <w:rFonts w:cs="Times New Roman"/>
        </w:rPr>
        <w:t>gives the Commission jurisdiction to hear an appeal of the District’s rate increase: “A retail public utility that receives water or sewer service from another … political subdivision of the state … may appeal to the utility commission a decision of the provider of water or sewer service affecting the amount paid for water or sewer service.”</w:t>
      </w:r>
      <w:r w:rsidR="00030573" w:rsidRPr="00C57A2A">
        <w:rPr>
          <w:rStyle w:val="FootnoteReference"/>
          <w:rFonts w:cs="Times New Roman"/>
        </w:rPr>
        <w:footnoteReference w:id="49"/>
      </w:r>
    </w:p>
    <w:p w14:paraId="63E1DE33" w14:textId="6FA75623" w:rsidR="004A41C5" w:rsidRPr="003074C5" w:rsidRDefault="00436D43" w:rsidP="003074C5">
      <w:pPr>
        <w:pStyle w:val="Heading2"/>
        <w:rPr>
          <w:u w:val="single"/>
        </w:rPr>
      </w:pPr>
      <w:bookmarkStart w:id="11" w:name="_Toc479331218"/>
      <w:r w:rsidRPr="003074C5">
        <w:rPr>
          <w:u w:val="single"/>
        </w:rPr>
        <w:t xml:space="preserve">The District’s </w:t>
      </w:r>
      <w:r w:rsidR="006A41AB" w:rsidRPr="003074C5">
        <w:rPr>
          <w:u w:val="single"/>
        </w:rPr>
        <w:t>Alleged “</w:t>
      </w:r>
      <w:r w:rsidRPr="003074C5">
        <w:rPr>
          <w:u w:val="single"/>
        </w:rPr>
        <w:t xml:space="preserve">Parade of </w:t>
      </w:r>
      <w:proofErr w:type="spellStart"/>
      <w:r w:rsidRPr="003074C5">
        <w:rPr>
          <w:u w:val="single"/>
        </w:rPr>
        <w:t>Horribles</w:t>
      </w:r>
      <w:proofErr w:type="spellEnd"/>
      <w:r w:rsidR="006A41AB" w:rsidRPr="003074C5">
        <w:rPr>
          <w:u w:val="single"/>
        </w:rPr>
        <w:t>”</w:t>
      </w:r>
      <w:r w:rsidRPr="003074C5">
        <w:rPr>
          <w:u w:val="single"/>
        </w:rPr>
        <w:t xml:space="preserve"> Simply Do</w:t>
      </w:r>
      <w:r w:rsidR="00537042" w:rsidRPr="003074C5">
        <w:rPr>
          <w:u w:val="single"/>
        </w:rPr>
        <w:t>es</w:t>
      </w:r>
      <w:r w:rsidRPr="003074C5">
        <w:rPr>
          <w:u w:val="single"/>
        </w:rPr>
        <w:t>n’t Make Sense</w:t>
      </w:r>
      <w:bookmarkEnd w:id="11"/>
    </w:p>
    <w:p w14:paraId="00963700" w14:textId="5114F690" w:rsidR="006049BB" w:rsidRPr="006049BB" w:rsidRDefault="00855D80" w:rsidP="003074C5">
      <w:pPr>
        <w:pStyle w:val="BTDFLBodyTextDoubleFLI"/>
      </w:pPr>
      <w:r>
        <w:t>Th</w:t>
      </w:r>
      <w:r w:rsidR="00537042">
        <w:t xml:space="preserve">roughout its </w:t>
      </w:r>
      <w:r w:rsidR="003E4AC2">
        <w:t>“</w:t>
      </w:r>
      <w:r w:rsidR="00537042">
        <w:t>re-urged</w:t>
      </w:r>
      <w:r w:rsidR="003E4AC2">
        <w:t>”</w:t>
      </w:r>
      <w:r w:rsidR="00537042">
        <w:t xml:space="preserve"> motion, the District cautions that these administrative proceedings could negatively impact the District’s ability to issue new bonds and to service its existing bond debt.</w:t>
      </w:r>
      <w:r w:rsidR="00537042">
        <w:rPr>
          <w:rStyle w:val="FootnoteReference"/>
        </w:rPr>
        <w:footnoteReference w:id="50"/>
      </w:r>
      <w:r w:rsidR="00537042">
        <w:t xml:space="preserve">  Not only is</w:t>
      </w:r>
      <w:r w:rsidR="000B4ECE">
        <w:t xml:space="preserve"> that irrelevant because </w:t>
      </w:r>
      <w:r w:rsidR="00537042">
        <w:t xml:space="preserve">Section 13.043(f) </w:t>
      </w:r>
      <w:r w:rsidR="00E52A63">
        <w:t xml:space="preserve">of the Texas Water Code </w:t>
      </w:r>
      <w:r w:rsidR="00537042">
        <w:t>does not deprive the Commission of jurisdiction when a water district</w:t>
      </w:r>
      <w:r w:rsidR="000B4ECE">
        <w:t xml:space="preserve"> has issued or will issue bonds,</w:t>
      </w:r>
      <w:r w:rsidR="003308AC">
        <w:rPr>
          <w:rStyle w:val="FootnoteReference"/>
        </w:rPr>
        <w:footnoteReference w:id="51"/>
      </w:r>
      <w:r w:rsidR="000B4ECE">
        <w:t xml:space="preserve"> but </w:t>
      </w:r>
      <w:r w:rsidR="00537042">
        <w:t xml:space="preserve">it also </w:t>
      </w:r>
      <w:r w:rsidR="006A41AB">
        <w:t xml:space="preserve">does not </w:t>
      </w:r>
      <w:r w:rsidR="00537042">
        <w:t xml:space="preserve">make </w:t>
      </w:r>
      <w:r w:rsidR="006A41AB">
        <w:t xml:space="preserve">any </w:t>
      </w:r>
      <w:r w:rsidR="00537042">
        <w:t xml:space="preserve">sense.  The very rules </w:t>
      </w:r>
      <w:r w:rsidR="000B4ECE">
        <w:t>the District challenges require</w:t>
      </w:r>
      <w:r w:rsidR="00537042">
        <w:t xml:space="preserve"> the Commission to set rates consistent with Chapter 12 of the Texas Water Code,</w:t>
      </w:r>
      <w:r w:rsidR="00537042">
        <w:rPr>
          <w:rStyle w:val="FootnoteReference"/>
        </w:rPr>
        <w:footnoteReference w:id="52"/>
      </w:r>
      <w:r w:rsidR="00537042">
        <w:t xml:space="preserve"> which mandates that the Commission “may not fix a rate which is less than the amount required to meet </w:t>
      </w:r>
      <w:r w:rsidR="00537042">
        <w:lastRenderedPageBreak/>
        <w:t>the debt service and bond coverage requirements of that political subdivision’s debt.”</w:t>
      </w:r>
      <w:r w:rsidR="00537042">
        <w:rPr>
          <w:rStyle w:val="FootnoteReference"/>
        </w:rPr>
        <w:footnoteReference w:id="53"/>
      </w:r>
      <w:r w:rsidR="00537042">
        <w:t xml:space="preserve">  Given t</w:t>
      </w:r>
      <w:r w:rsidR="007260CF">
        <w:t>hese</w:t>
      </w:r>
      <w:r w:rsidR="00F11181">
        <w:t xml:space="preserve"> statutory protections</w:t>
      </w:r>
      <w:r w:rsidR="00537042">
        <w:t xml:space="preserve">, </w:t>
      </w:r>
      <w:r w:rsidR="000B4ECE">
        <w:t xml:space="preserve">one </w:t>
      </w:r>
      <w:r w:rsidR="008E32E1">
        <w:t xml:space="preserve">can only </w:t>
      </w:r>
      <w:r w:rsidR="00537042">
        <w:t xml:space="preserve">wonder why the District is so ardently </w:t>
      </w:r>
      <w:r w:rsidR="003E4AC2">
        <w:t>opposed to</w:t>
      </w:r>
      <w:r w:rsidR="00537042">
        <w:t xml:space="preserve"> </w:t>
      </w:r>
      <w:r w:rsidR="000A68D0">
        <w:t>review of its rates</w:t>
      </w:r>
      <w:r w:rsidR="00537042">
        <w:t>.</w:t>
      </w:r>
    </w:p>
    <w:p w14:paraId="4AA7DB67" w14:textId="01A07BB9" w:rsidR="004A41C5" w:rsidRPr="00A57A81" w:rsidRDefault="00A57A81" w:rsidP="003074C5">
      <w:pPr>
        <w:pStyle w:val="Heading1"/>
      </w:pPr>
      <w:bookmarkStart w:id="12" w:name="_Toc479331219"/>
      <w:r w:rsidRPr="00A57A81">
        <w:t>RESPONSE TO DISTRICT’S MOTION TO ABATE</w:t>
      </w:r>
      <w:bookmarkEnd w:id="12"/>
    </w:p>
    <w:p w14:paraId="3095B09D" w14:textId="6CE65A05" w:rsidR="00B6473D" w:rsidRDefault="00A57A81" w:rsidP="003074C5">
      <w:pPr>
        <w:pStyle w:val="BTDFLBodyTextDoubleFLI"/>
      </w:pPr>
      <w:r w:rsidRPr="002D7A9B">
        <w:t xml:space="preserve">Given Judge Crump’s denial of </w:t>
      </w:r>
      <w:r>
        <w:t>the District’s request for a temporary restraining order</w:t>
      </w:r>
      <w:r w:rsidRPr="002D7A9B">
        <w:t xml:space="preserve">, nothing restrains the Commission from </w:t>
      </w:r>
      <w:r>
        <w:t>adjudicating the petition</w:t>
      </w:r>
      <w:r w:rsidRPr="002D7A9B">
        <w:t>.</w:t>
      </w:r>
      <w:r w:rsidRPr="002D7A9B">
        <w:rPr>
          <w:vertAlign w:val="superscript"/>
        </w:rPr>
        <w:footnoteReference w:id="54"/>
      </w:r>
      <w:r w:rsidRPr="002D7A9B">
        <w:t xml:space="preserve"> </w:t>
      </w:r>
      <w:r>
        <w:t>Indeed, i</w:t>
      </w:r>
      <w:r w:rsidRPr="002D7A9B">
        <w:t xml:space="preserve">mmediate </w:t>
      </w:r>
      <w:r>
        <w:t>action</w:t>
      </w:r>
      <w:r w:rsidRPr="002D7A9B">
        <w:t xml:space="preserve"> is </w:t>
      </w:r>
      <w:r>
        <w:t>compelled by</w:t>
      </w:r>
      <w:r w:rsidRPr="002D7A9B">
        <w:t xml:space="preserve"> Commission rules, which provide a 30-day timeline for the Commission</w:t>
      </w:r>
      <w:r w:rsidRPr="002D7A9B">
        <w:rPr>
          <w:vertAlign w:val="superscript"/>
        </w:rPr>
        <w:footnoteReference w:id="55"/>
      </w:r>
      <w:r w:rsidRPr="002D7A9B">
        <w:t xml:space="preserve"> to review the sufficiency of </w:t>
      </w:r>
      <w:r w:rsidR="008655E1">
        <w:t>the</w:t>
      </w:r>
      <w:r w:rsidR="008655E1" w:rsidRPr="002D7A9B">
        <w:t xml:space="preserve"> </w:t>
      </w:r>
      <w:r w:rsidR="008655E1">
        <w:t>P</w:t>
      </w:r>
      <w:r w:rsidRPr="002D7A9B">
        <w:t xml:space="preserve">etition and </w:t>
      </w:r>
      <w:r>
        <w:t>initiate the</w:t>
      </w:r>
      <w:r w:rsidRPr="002D7A9B">
        <w:t xml:space="preserve"> evidentiary hearing on public interest</w:t>
      </w:r>
      <w:r w:rsidR="000B4ECE">
        <w:t>.</w:t>
      </w:r>
      <w:r w:rsidRPr="002D7A9B">
        <w:rPr>
          <w:vertAlign w:val="superscript"/>
        </w:rPr>
        <w:footnoteReference w:id="56"/>
      </w:r>
      <w:r w:rsidR="000B4ECE">
        <w:t xml:space="preserve"> </w:t>
      </w:r>
      <w:r w:rsidRPr="002D7A9B">
        <w:t xml:space="preserve"> </w:t>
      </w:r>
    </w:p>
    <w:p w14:paraId="15BF3FB8" w14:textId="04B71731" w:rsidR="007D62B3" w:rsidRPr="003074C5" w:rsidRDefault="007D62B3" w:rsidP="003074C5">
      <w:pPr>
        <w:pStyle w:val="Heading2"/>
        <w:rPr>
          <w:u w:val="single"/>
        </w:rPr>
      </w:pPr>
      <w:bookmarkStart w:id="13" w:name="_Toc479331220"/>
      <w:r w:rsidRPr="003074C5">
        <w:rPr>
          <w:u w:val="single"/>
        </w:rPr>
        <w:t xml:space="preserve">The District’s Grounds </w:t>
      </w:r>
      <w:r w:rsidR="003E4AC2" w:rsidRPr="003074C5">
        <w:rPr>
          <w:u w:val="single"/>
        </w:rPr>
        <w:t>Do Not Support Abatement</w:t>
      </w:r>
      <w:bookmarkEnd w:id="13"/>
    </w:p>
    <w:p w14:paraId="2736205D" w14:textId="32192232" w:rsidR="00A57A81" w:rsidRDefault="00A57A81" w:rsidP="003074C5">
      <w:pPr>
        <w:pStyle w:val="BTDFLBodyTextDoubleFLI"/>
      </w:pPr>
      <w:r>
        <w:t xml:space="preserve">The District requests abatement “in </w:t>
      </w:r>
      <w:r w:rsidR="00194BB0">
        <w:t>the interest of efficiency.”</w:t>
      </w:r>
      <w:r w:rsidR="00A36288">
        <w:rPr>
          <w:rStyle w:val="FootnoteReference"/>
        </w:rPr>
        <w:footnoteReference w:id="57"/>
      </w:r>
      <w:r w:rsidR="00194BB0">
        <w:t xml:space="preserve">  But if</w:t>
      </w:r>
      <w:r>
        <w:t xml:space="preserve"> these administrative proceedings are </w:t>
      </w:r>
      <w:r w:rsidR="00194BB0">
        <w:t>abated</w:t>
      </w:r>
      <w:r>
        <w:t xml:space="preserve">, the public interest </w:t>
      </w:r>
      <w:r w:rsidR="00194BB0">
        <w:t>hearing</w:t>
      </w:r>
      <w:r>
        <w:t xml:space="preserve"> may overlap with the District setting new rates</w:t>
      </w:r>
      <w:r w:rsidR="00D029AB">
        <w:t xml:space="preserve"> for Fiscal Year 2018</w:t>
      </w:r>
      <w:r>
        <w:t xml:space="preserve"> in September 2017, which w</w:t>
      </w:r>
      <w:r w:rsidR="00194BB0">
        <w:t>ill trigger</w:t>
      </w:r>
      <w:r>
        <w:t xml:space="preserve"> a 90-day clock for Petitioners to appeal</w:t>
      </w:r>
      <w:r w:rsidR="00194BB0">
        <w:t xml:space="preserve"> the new rates in</w:t>
      </w:r>
      <w:r>
        <w:t xml:space="preserve"> a parallel administrative proceeding.</w:t>
      </w:r>
      <w:r w:rsidR="00506A0E">
        <w:rPr>
          <w:rStyle w:val="FootnoteReference"/>
        </w:rPr>
        <w:footnoteReference w:id="58"/>
      </w:r>
      <w:r>
        <w:t xml:space="preserve"> </w:t>
      </w:r>
      <w:r w:rsidR="003E4AC2">
        <w:t xml:space="preserve">Such parallel proceedings would be a waste of the parties’ and the Commission’s resources.  </w:t>
      </w:r>
      <w:r w:rsidR="00194BB0">
        <w:t>A</w:t>
      </w:r>
      <w:r>
        <w:t>nd so in the interest of efficiency, Petitioners respectfully request that the</w:t>
      </w:r>
      <w:r w:rsidR="00194BB0">
        <w:t xml:space="preserve"> </w:t>
      </w:r>
      <w:r w:rsidR="008E32E1">
        <w:t>public interest hearing be held as soon as possible.</w:t>
      </w:r>
    </w:p>
    <w:p w14:paraId="4D611645" w14:textId="09D280C2" w:rsidR="002F0507" w:rsidRDefault="00506A0E" w:rsidP="003074C5">
      <w:pPr>
        <w:pStyle w:val="BTDFLBodyTextDoubleFLI"/>
      </w:pPr>
      <w:r>
        <w:t>The District also requests abatement to “</w:t>
      </w:r>
      <w:proofErr w:type="gramStart"/>
      <w:r>
        <w:t>avoid[</w:t>
      </w:r>
      <w:proofErr w:type="gramEnd"/>
      <w:r>
        <w:t>] unnecessary litigation.”</w:t>
      </w:r>
      <w:r w:rsidR="00A36288">
        <w:rPr>
          <w:rStyle w:val="FootnoteReference"/>
        </w:rPr>
        <w:footnoteReference w:id="59"/>
      </w:r>
      <w:r>
        <w:t xml:space="preserve">  Petitioners agree that unnecessary litigation should be avoided, which is why Petitioners support the Commission’s </w:t>
      </w:r>
      <w:r w:rsidR="008E32E1">
        <w:t xml:space="preserve">decision to file </w:t>
      </w:r>
      <w:r w:rsidR="00194BB0">
        <w:t xml:space="preserve">a </w:t>
      </w:r>
      <w:r>
        <w:t xml:space="preserve">plea in abatement in </w:t>
      </w:r>
      <w:r w:rsidR="008E32E1">
        <w:t xml:space="preserve">the </w:t>
      </w:r>
      <w:r>
        <w:t>state district court</w:t>
      </w:r>
      <w:r w:rsidR="008E32E1">
        <w:t xml:space="preserve"> proceedings</w:t>
      </w:r>
      <w:r>
        <w:t xml:space="preserve">, </w:t>
      </w:r>
      <w:r w:rsidR="002F0507">
        <w:t xml:space="preserve">in which the Commission </w:t>
      </w:r>
      <w:r w:rsidR="00E20125">
        <w:t>has asked</w:t>
      </w:r>
      <w:r>
        <w:t xml:space="preserve"> Judge Crump </w:t>
      </w:r>
      <w:r w:rsidR="007B0B50">
        <w:t>to defer to the Commission’s primary jurisdiction over wholesale water rate appeals,</w:t>
      </w:r>
      <w:r w:rsidR="007B0B50">
        <w:rPr>
          <w:rStyle w:val="FootnoteReference"/>
        </w:rPr>
        <w:footnoteReference w:id="60"/>
      </w:r>
      <w:r w:rsidR="007B0B50">
        <w:t xml:space="preserve"> as at least one other district court judge has done under similar circumstances.</w:t>
      </w:r>
      <w:r>
        <w:rPr>
          <w:rStyle w:val="FootnoteReference"/>
        </w:rPr>
        <w:footnoteReference w:id="61"/>
      </w:r>
      <w:r>
        <w:t xml:space="preserve">  </w:t>
      </w:r>
    </w:p>
    <w:p w14:paraId="7DE968E6" w14:textId="769FA819" w:rsidR="00506A0E" w:rsidRDefault="00506A0E" w:rsidP="003074C5">
      <w:pPr>
        <w:pStyle w:val="BTDFLBodyTextDoubleFLI"/>
      </w:pPr>
      <w:r>
        <w:lastRenderedPageBreak/>
        <w:t xml:space="preserve">In the absence of an injunction, there is simply no rule of law requiring </w:t>
      </w:r>
      <w:r w:rsidR="00805C45">
        <w:t>an agency</w:t>
      </w:r>
      <w:r>
        <w:t xml:space="preserve"> </w:t>
      </w:r>
      <w:r w:rsidR="006A41AB">
        <w:t xml:space="preserve">with primary jurisdiction </w:t>
      </w:r>
      <w:r>
        <w:t>to stand pat wh</w:t>
      </w:r>
      <w:r w:rsidR="008E32E1">
        <w:t>en</w:t>
      </w:r>
      <w:r>
        <w:t xml:space="preserve"> a</w:t>
      </w:r>
      <w:r w:rsidR="00F11181">
        <w:t xml:space="preserve"> </w:t>
      </w:r>
      <w:r>
        <w:t xml:space="preserve">party </w:t>
      </w:r>
      <w:r w:rsidR="007260CF">
        <w:t xml:space="preserve">unsatisfied with </w:t>
      </w:r>
      <w:r>
        <w:t xml:space="preserve">an administrative proceeding files </w:t>
      </w:r>
      <w:r w:rsidR="00194BB0">
        <w:t>suit</w:t>
      </w:r>
      <w:r>
        <w:t xml:space="preserve"> in district court.</w:t>
      </w:r>
    </w:p>
    <w:p w14:paraId="5726C745" w14:textId="7F016201" w:rsidR="00FB7550" w:rsidRPr="003074C5" w:rsidRDefault="00FB7550" w:rsidP="003074C5">
      <w:pPr>
        <w:pStyle w:val="Heading2"/>
        <w:rPr>
          <w:u w:val="single"/>
        </w:rPr>
      </w:pPr>
      <w:bookmarkStart w:id="14" w:name="_Toc479331221"/>
      <w:r w:rsidRPr="003074C5">
        <w:rPr>
          <w:u w:val="single"/>
        </w:rPr>
        <w:t xml:space="preserve">The Presiding Officer Would Not Be </w:t>
      </w:r>
      <w:proofErr w:type="gramStart"/>
      <w:r w:rsidRPr="003074C5">
        <w:rPr>
          <w:u w:val="single"/>
        </w:rPr>
        <w:t>The</w:t>
      </w:r>
      <w:proofErr w:type="gramEnd"/>
      <w:r w:rsidRPr="003074C5">
        <w:rPr>
          <w:u w:val="single"/>
        </w:rPr>
        <w:t xml:space="preserve"> First to Deny a Motion to Abate Under Similar Circumstances</w:t>
      </w:r>
      <w:bookmarkEnd w:id="14"/>
    </w:p>
    <w:p w14:paraId="5ED9B759" w14:textId="0941A678" w:rsidR="00DB1C1F" w:rsidRDefault="00506A0E" w:rsidP="003074C5">
      <w:pPr>
        <w:pStyle w:val="BTDFLBodyTextDoubleFLI"/>
      </w:pPr>
      <w:r>
        <w:t>The District’s precedent</w:t>
      </w:r>
      <w:r w:rsidR="00194BB0">
        <w:t xml:space="preserve"> for</w:t>
      </w:r>
      <w:r>
        <w:t xml:space="preserve"> </w:t>
      </w:r>
      <w:r w:rsidR="00194BB0">
        <w:t>abatement</w:t>
      </w:r>
      <w:r>
        <w:t xml:space="preserve"> </w:t>
      </w:r>
      <w:r w:rsidR="007D62B3">
        <w:t xml:space="preserve">is inapposite.  </w:t>
      </w:r>
      <w:r w:rsidR="008E32E1">
        <w:t>In its first cited case</w:t>
      </w:r>
      <w:r>
        <w:t xml:space="preserve"> (Docket No. 42197), the parties </w:t>
      </w:r>
      <w:r w:rsidRPr="003E4AC2">
        <w:rPr>
          <w:i/>
        </w:rPr>
        <w:t>agreed</w:t>
      </w:r>
      <w:r>
        <w:t xml:space="preserve"> that the administrative proceedings should be abated.</w:t>
      </w:r>
      <w:r>
        <w:rPr>
          <w:rStyle w:val="FootnoteReference"/>
        </w:rPr>
        <w:footnoteReference w:id="62"/>
      </w:r>
      <w:r w:rsidR="00194BB0">
        <w:t xml:space="preserve">  That</w:t>
      </w:r>
      <w:r w:rsidR="000A3FCA">
        <w:t xml:space="preserve"> is</w:t>
      </w:r>
      <w:r w:rsidR="00194BB0">
        <w:t xml:space="preserve"> not the case here. </w:t>
      </w:r>
      <w:r w:rsidR="008E32E1">
        <w:t>In its second cited case</w:t>
      </w:r>
      <w:r>
        <w:t xml:space="preserve"> (Docket No. 43572), </w:t>
      </w:r>
      <w:r w:rsidR="007D62B3">
        <w:t>t</w:t>
      </w:r>
      <w:r w:rsidR="00FA44B5">
        <w:t xml:space="preserve">he </w:t>
      </w:r>
      <w:r w:rsidR="007D62B3">
        <w:t>o</w:t>
      </w:r>
      <w:r w:rsidR="00FA44B5">
        <w:t xml:space="preserve">rder cited by the District </w:t>
      </w:r>
      <w:r w:rsidR="00194BB0">
        <w:t>does reference a previous</w:t>
      </w:r>
      <w:r w:rsidR="00FA44B5">
        <w:t xml:space="preserve"> abatement</w:t>
      </w:r>
      <w:r w:rsidR="007D62B3">
        <w:t xml:space="preserve">, </w:t>
      </w:r>
      <w:r w:rsidR="002F0507">
        <w:t xml:space="preserve">but </w:t>
      </w:r>
      <w:r w:rsidR="007D62B3">
        <w:t xml:space="preserve">the order </w:t>
      </w:r>
      <w:r w:rsidR="002F0507">
        <w:t xml:space="preserve">also </w:t>
      </w:r>
      <w:r w:rsidR="007D62B3">
        <w:t>recites</w:t>
      </w:r>
      <w:r w:rsidR="00FA44B5">
        <w:t xml:space="preserve"> that a party “sought further abatement of the pending case until appeals of other pending district court cases are concluded” and </w:t>
      </w:r>
      <w:r w:rsidR="007D62B3">
        <w:t xml:space="preserve">memorializes the administrative law judge’s decision to </w:t>
      </w:r>
      <w:r w:rsidR="007D62B3" w:rsidRPr="0034691A">
        <w:rPr>
          <w:i/>
        </w:rPr>
        <w:t>deny</w:t>
      </w:r>
      <w:r w:rsidR="007D62B3">
        <w:t xml:space="preserve"> further abatement</w:t>
      </w:r>
      <w:r w:rsidR="00FA44B5">
        <w:t>.</w:t>
      </w:r>
      <w:r w:rsidR="00FA44B5">
        <w:rPr>
          <w:rStyle w:val="FootnoteReference"/>
        </w:rPr>
        <w:footnoteReference w:id="63"/>
      </w:r>
      <w:r w:rsidR="00FA44B5">
        <w:t xml:space="preserve">  </w:t>
      </w:r>
    </w:p>
    <w:p w14:paraId="58379CD6" w14:textId="3F0F9E47" w:rsidR="00A57A81" w:rsidRDefault="000A68D0" w:rsidP="003074C5">
      <w:pPr>
        <w:pStyle w:val="BTDFLBodyTextDoubleFLI"/>
      </w:pPr>
      <w:r>
        <w:t>Although</w:t>
      </w:r>
      <w:r w:rsidR="007D62B3">
        <w:t xml:space="preserve"> the presiding officer clearly has the authority to abate administrative proceedings,</w:t>
      </w:r>
      <w:r w:rsidR="007D62B3">
        <w:rPr>
          <w:rStyle w:val="FootnoteReference"/>
        </w:rPr>
        <w:footnoteReference w:id="64"/>
      </w:r>
      <w:r w:rsidR="007D62B3">
        <w:t xml:space="preserve"> presiding officer</w:t>
      </w:r>
      <w:r>
        <w:t>s</w:t>
      </w:r>
      <w:r w:rsidR="007D62B3">
        <w:t xml:space="preserve"> </w:t>
      </w:r>
      <w:r>
        <w:t>have</w:t>
      </w:r>
      <w:r w:rsidR="007D62B3">
        <w:t xml:space="preserve"> den</w:t>
      </w:r>
      <w:r>
        <w:t>ied</w:t>
      </w:r>
      <w:r w:rsidR="00A73445">
        <w:t xml:space="preserve"> </w:t>
      </w:r>
      <w:r w:rsidR="007D62B3">
        <w:t>motion</w:t>
      </w:r>
      <w:r w:rsidR="00A73445">
        <w:t>s</w:t>
      </w:r>
      <w:r w:rsidR="007D62B3">
        <w:t xml:space="preserve"> to abate under similar circumstances.  </w:t>
      </w:r>
      <w:r w:rsidR="00FA44B5">
        <w:t>For example, in</w:t>
      </w:r>
      <w:r w:rsidR="00FA44B5" w:rsidRPr="00C57A2A">
        <w:t xml:space="preserve"> a recent </w:t>
      </w:r>
      <w:r w:rsidR="008E32E1">
        <w:t xml:space="preserve">water </w:t>
      </w:r>
      <w:r w:rsidR="00FA44B5" w:rsidRPr="00C57A2A">
        <w:t xml:space="preserve">rate case before the Commission, various utility districts appealed water rates </w:t>
      </w:r>
      <w:r w:rsidR="00FA44B5">
        <w:t xml:space="preserve">imposed by the City of Austin.  </w:t>
      </w:r>
      <w:r w:rsidR="004C6FDC">
        <w:t>Like the District in this matter, the City of Austin responded by filing suit in district court under Section 2001.038 of the Texas Government Code, seeking a declaratory judgment regarding applicability of the Commission’s Chapter 24 rules and a temporary injunction to halt the ongoing administrative proceedings.</w:t>
      </w:r>
      <w:r w:rsidR="00DB1C1F">
        <w:rPr>
          <w:rStyle w:val="FootnoteReference"/>
        </w:rPr>
        <w:footnoteReference w:id="65"/>
      </w:r>
      <w:r w:rsidR="007D62B3">
        <w:t xml:space="preserve"> In turn, the</w:t>
      </w:r>
      <w:r w:rsidR="00DB1C1F">
        <w:t xml:space="preserve"> City of Austin asked the administrative law judges to abate the administrative proceedings.</w:t>
      </w:r>
      <w:r w:rsidR="001B72C0">
        <w:rPr>
          <w:rStyle w:val="FootnoteReference"/>
        </w:rPr>
        <w:footnoteReference w:id="66"/>
      </w:r>
      <w:r w:rsidR="00DB1C1F">
        <w:t xml:space="preserve">  The judges </w:t>
      </w:r>
      <w:r w:rsidR="00DB1C1F">
        <w:lastRenderedPageBreak/>
        <w:t xml:space="preserve">refused: “Unless and until an injunction issues, the </w:t>
      </w:r>
      <w:proofErr w:type="spellStart"/>
      <w:r w:rsidR="00DB1C1F">
        <w:t>ALJs</w:t>
      </w:r>
      <w:proofErr w:type="spellEnd"/>
      <w:r w:rsidR="00DB1C1F">
        <w:t xml:space="preserve"> will proceed with the </w:t>
      </w:r>
      <w:proofErr w:type="spellStart"/>
      <w:r w:rsidR="00DB1C1F">
        <w:t>SOAH</w:t>
      </w:r>
      <w:proofErr w:type="spellEnd"/>
      <w:r w:rsidR="00DB1C1F">
        <w:t xml:space="preserve"> hearing as scheduled.”</w:t>
      </w:r>
      <w:r w:rsidR="00DB1C1F">
        <w:rPr>
          <w:rStyle w:val="FootnoteReference"/>
        </w:rPr>
        <w:footnoteReference w:id="67"/>
      </w:r>
      <w:r w:rsidR="007D62B3">
        <w:t xml:space="preserve"> </w:t>
      </w:r>
      <w:r w:rsidR="000A3FCA">
        <w:t>The same result should follow here.</w:t>
      </w:r>
    </w:p>
    <w:p w14:paraId="01612834" w14:textId="7319B656" w:rsidR="004A6002" w:rsidRDefault="004A6002" w:rsidP="003074C5">
      <w:pPr>
        <w:pStyle w:val="Heading1"/>
      </w:pPr>
      <w:bookmarkStart w:id="15" w:name="_Toc479331222"/>
      <w:r>
        <w:t>CONCLUSION</w:t>
      </w:r>
      <w:bookmarkEnd w:id="15"/>
    </w:p>
    <w:p w14:paraId="5D2BAA14" w14:textId="51E18466" w:rsidR="006049BB" w:rsidRDefault="003E51C2" w:rsidP="003074C5">
      <w:pPr>
        <w:pStyle w:val="BTDFLBodyTextDoubleFLI"/>
      </w:pPr>
      <w:r>
        <w:t xml:space="preserve">Petitioners respectfully request that </w:t>
      </w:r>
      <w:r w:rsidR="00977E5D">
        <w:t xml:space="preserve">the presiding officer </w:t>
      </w:r>
      <w:r w:rsidR="00A81DB1">
        <w:t>deny</w:t>
      </w:r>
      <w:r w:rsidR="00977E5D" w:rsidRPr="00977E5D">
        <w:t xml:space="preserve"> </w:t>
      </w:r>
      <w:r w:rsidR="00977E5D">
        <w:t xml:space="preserve">the District’s pending motions and </w:t>
      </w:r>
      <w:r w:rsidR="00A81DB1">
        <w:rPr>
          <w:rFonts w:cs="Times New Roman"/>
        </w:rPr>
        <w:t xml:space="preserve">establish a procedural schedule leading to a </w:t>
      </w:r>
      <w:r w:rsidR="00805C45">
        <w:rPr>
          <w:rFonts w:cs="Times New Roman"/>
        </w:rPr>
        <w:t xml:space="preserve">public interest </w:t>
      </w:r>
      <w:r w:rsidR="00A81DB1">
        <w:rPr>
          <w:rFonts w:cs="Times New Roman"/>
        </w:rPr>
        <w:t>hearing on the merits before the Commission</w:t>
      </w:r>
      <w:r w:rsidR="001156A0">
        <w:t>.</w:t>
      </w:r>
      <w:r w:rsidR="004D6EAE">
        <w:t xml:space="preserve">  </w:t>
      </w:r>
    </w:p>
    <w:p w14:paraId="0F6C86A0" w14:textId="5175626B" w:rsidR="00A363E8" w:rsidRDefault="00A363E8">
      <w:pPr>
        <w:jc w:val="left"/>
      </w:pPr>
      <w:r>
        <w:br w:type="page"/>
      </w:r>
    </w:p>
    <w:p w14:paraId="1F4D88DA" w14:textId="77777777" w:rsidR="00A363E8" w:rsidRDefault="00A363E8" w:rsidP="00A363E8">
      <w:pPr>
        <w:pStyle w:val="BTDFLBodyTextDoubleFLI"/>
        <w:ind w:firstLine="0"/>
      </w:pPr>
    </w:p>
    <w:p w14:paraId="3DD35A13" w14:textId="77777777" w:rsidR="003074C5" w:rsidRDefault="009D6A10" w:rsidP="003A2218">
      <w:pPr>
        <w:pStyle w:val="SBRSignatureBlockRight"/>
        <w:tabs>
          <w:tab w:val="right" w:pos="9360"/>
        </w:tabs>
      </w:pPr>
      <w:r>
        <w:t xml:space="preserve">Respectfully </w:t>
      </w:r>
      <w:r w:rsidR="004C2A91">
        <w:t>submitted</w:t>
      </w:r>
      <w:r w:rsidR="00D570AF">
        <w:t>,</w:t>
      </w:r>
    </w:p>
    <w:p w14:paraId="70335049" w14:textId="77777777" w:rsidR="003074C5" w:rsidRDefault="003074C5" w:rsidP="003A2218">
      <w:pPr>
        <w:pStyle w:val="SBRSignatureBlockRight"/>
        <w:tabs>
          <w:tab w:val="right" w:pos="9360"/>
        </w:tabs>
      </w:pPr>
    </w:p>
    <w:p w14:paraId="7B9BE1FF" w14:textId="77777777" w:rsidR="003074C5" w:rsidRDefault="003074C5" w:rsidP="003A2218">
      <w:pPr>
        <w:pStyle w:val="SBRSignatureBlockRight"/>
        <w:tabs>
          <w:tab w:val="right" w:pos="9360"/>
        </w:tabs>
      </w:pPr>
    </w:p>
    <w:p w14:paraId="6E952189" w14:textId="09CADEE9" w:rsidR="003074C5" w:rsidRPr="003074C5" w:rsidRDefault="00756C3A" w:rsidP="003A2218">
      <w:pPr>
        <w:pStyle w:val="SBRSignatureBlockRight"/>
        <w:tabs>
          <w:tab w:val="right" w:pos="9360"/>
        </w:tabs>
        <w:rPr>
          <w:u w:val="single"/>
        </w:rPr>
      </w:pPr>
      <w:r>
        <w:rPr>
          <w:u w:val="single"/>
        </w:rPr>
        <w:t>/s/</w:t>
      </w:r>
      <w:r w:rsidR="003074C5">
        <w:rPr>
          <w:u w:val="single"/>
        </w:rPr>
        <w:tab/>
      </w:r>
      <w:r w:rsidR="003074C5">
        <w:rPr>
          <w:u w:val="single"/>
        </w:rPr>
        <w:tab/>
      </w:r>
    </w:p>
    <w:p w14:paraId="62D29ECF" w14:textId="77DF827D" w:rsidR="003074C5" w:rsidRDefault="00B56896" w:rsidP="003074C5">
      <w:pPr>
        <w:pStyle w:val="SBRSignatureBlockRight"/>
        <w:tabs>
          <w:tab w:val="right" w:pos="9360"/>
        </w:tabs>
      </w:pPr>
      <w:r w:rsidRPr="00D845E3">
        <w:t xml:space="preserve">Michael J. </w:t>
      </w:r>
      <w:proofErr w:type="spellStart"/>
      <w:r w:rsidRPr="00D845E3">
        <w:t>Tomsu</w:t>
      </w:r>
      <w:proofErr w:type="spellEnd"/>
    </w:p>
    <w:p w14:paraId="37B88682" w14:textId="77777777" w:rsidR="003074C5" w:rsidRDefault="00B56896" w:rsidP="003074C5">
      <w:pPr>
        <w:pStyle w:val="SBRSignatureBlockRight"/>
        <w:tabs>
          <w:tab w:val="right" w:pos="9360"/>
        </w:tabs>
      </w:pPr>
      <w:r>
        <w:t xml:space="preserve">State </w:t>
      </w:r>
      <w:proofErr w:type="gramStart"/>
      <w:r>
        <w:t>Bar</w:t>
      </w:r>
      <w:proofErr w:type="gramEnd"/>
      <w:r>
        <w:t xml:space="preserve"> No. 20125875</w:t>
      </w:r>
    </w:p>
    <w:p w14:paraId="2ED3EFAE" w14:textId="77777777" w:rsidR="003074C5" w:rsidRDefault="00B56896" w:rsidP="003074C5">
      <w:pPr>
        <w:pStyle w:val="SBRSignatureBlockRight"/>
        <w:tabs>
          <w:tab w:val="right" w:pos="9360"/>
        </w:tabs>
      </w:pPr>
      <w:r>
        <w:t>Sue Snyder</w:t>
      </w:r>
    </w:p>
    <w:p w14:paraId="4CFA4E5F" w14:textId="77777777" w:rsidR="003074C5" w:rsidRDefault="00B56896" w:rsidP="003074C5">
      <w:pPr>
        <w:pStyle w:val="SBRSignatureBlockRight"/>
        <w:tabs>
          <w:tab w:val="right" w:pos="9360"/>
        </w:tabs>
      </w:pPr>
      <w:r w:rsidRPr="009B4830">
        <w:t xml:space="preserve">Texas </w:t>
      </w:r>
      <w:proofErr w:type="gramStart"/>
      <w:r w:rsidRPr="009B4830">
        <w:t>Bar</w:t>
      </w:r>
      <w:proofErr w:type="gramEnd"/>
      <w:r w:rsidRPr="009B4830">
        <w:t xml:space="preserve"> No.</w:t>
      </w:r>
      <w:r>
        <w:t xml:space="preserve"> 01748030</w:t>
      </w:r>
    </w:p>
    <w:p w14:paraId="4EAE5BFB" w14:textId="77777777" w:rsidR="003074C5" w:rsidRDefault="00B56896" w:rsidP="003074C5">
      <w:pPr>
        <w:pStyle w:val="SBRSignatureBlockRight"/>
        <w:tabs>
          <w:tab w:val="right" w:pos="9360"/>
        </w:tabs>
      </w:pPr>
      <w:r w:rsidRPr="00D570AF">
        <w:rPr>
          <w:rFonts w:eastAsia="Times New Roman" w:cs="Times New Roman"/>
          <w:smallCaps/>
        </w:rPr>
        <w:t>Vinson &amp; Elkins LLP</w:t>
      </w:r>
    </w:p>
    <w:p w14:paraId="605FC4B9" w14:textId="77777777" w:rsidR="003074C5" w:rsidRDefault="00B56896" w:rsidP="003074C5">
      <w:pPr>
        <w:pStyle w:val="SBRSignatureBlockRight"/>
        <w:tabs>
          <w:tab w:val="right" w:pos="9360"/>
        </w:tabs>
      </w:pPr>
      <w:r>
        <w:rPr>
          <w:rFonts w:eastAsia="Times New Roman" w:cs="Times New Roman"/>
          <w:smallCaps/>
        </w:rPr>
        <w:t>2801 V</w:t>
      </w:r>
      <w:r>
        <w:rPr>
          <w:rFonts w:eastAsia="Times New Roman" w:cs="Times New Roman"/>
        </w:rPr>
        <w:t>ia Fortuna, Suite 100</w:t>
      </w:r>
    </w:p>
    <w:p w14:paraId="5BC127F5" w14:textId="77777777" w:rsidR="003074C5" w:rsidRDefault="00B56896" w:rsidP="003074C5">
      <w:pPr>
        <w:pStyle w:val="SBRSignatureBlockRight"/>
        <w:tabs>
          <w:tab w:val="right" w:pos="9360"/>
        </w:tabs>
      </w:pPr>
      <w:r>
        <w:rPr>
          <w:rFonts w:eastAsia="Times New Roman" w:cs="Times New Roman"/>
        </w:rPr>
        <w:t>Austin, Texas 78746</w:t>
      </w:r>
    </w:p>
    <w:p w14:paraId="5966EDB3" w14:textId="77777777" w:rsidR="003074C5" w:rsidRDefault="00B56896" w:rsidP="003074C5">
      <w:pPr>
        <w:pStyle w:val="SBRSignatureBlockRight"/>
        <w:tabs>
          <w:tab w:val="right" w:pos="9360"/>
        </w:tabs>
      </w:pPr>
      <w:r w:rsidRPr="00D570AF">
        <w:rPr>
          <w:rFonts w:eastAsia="Times New Roman" w:cs="Times New Roman"/>
        </w:rPr>
        <w:t>Phone: (</w:t>
      </w:r>
      <w:r>
        <w:rPr>
          <w:rFonts w:eastAsia="Times New Roman" w:cs="Times New Roman"/>
        </w:rPr>
        <w:t>512</w:t>
      </w:r>
      <w:r w:rsidRPr="00D570AF">
        <w:rPr>
          <w:rFonts w:eastAsia="Times New Roman" w:cs="Times New Roman"/>
        </w:rPr>
        <w:t xml:space="preserve">) </w:t>
      </w:r>
      <w:r>
        <w:rPr>
          <w:rFonts w:eastAsia="Times New Roman" w:cs="Times New Roman"/>
        </w:rPr>
        <w:t>542</w:t>
      </w:r>
      <w:r w:rsidRPr="00D570AF">
        <w:rPr>
          <w:rFonts w:eastAsia="Times New Roman" w:cs="Times New Roman"/>
        </w:rPr>
        <w:t>-</w:t>
      </w:r>
      <w:r>
        <w:rPr>
          <w:rFonts w:eastAsia="Times New Roman" w:cs="Times New Roman"/>
        </w:rPr>
        <w:t>8454</w:t>
      </w:r>
    </w:p>
    <w:p w14:paraId="4535964E" w14:textId="77777777" w:rsidR="003074C5" w:rsidRDefault="00B56896" w:rsidP="003074C5">
      <w:pPr>
        <w:pStyle w:val="SBRSignatureBlockRight"/>
        <w:tabs>
          <w:tab w:val="right" w:pos="9360"/>
        </w:tabs>
      </w:pPr>
      <w:r w:rsidRPr="00D570AF">
        <w:rPr>
          <w:rFonts w:eastAsia="Times New Roman" w:cs="Times New Roman"/>
        </w:rPr>
        <w:t>Fax:  (</w:t>
      </w:r>
      <w:r>
        <w:rPr>
          <w:rFonts w:eastAsia="Times New Roman" w:cs="Times New Roman"/>
        </w:rPr>
        <w:t>512</w:t>
      </w:r>
      <w:r w:rsidRPr="00D570AF">
        <w:rPr>
          <w:rFonts w:eastAsia="Times New Roman" w:cs="Times New Roman"/>
        </w:rPr>
        <w:t xml:space="preserve">) </w:t>
      </w:r>
      <w:r>
        <w:rPr>
          <w:rFonts w:eastAsia="Times New Roman" w:cs="Times New Roman"/>
        </w:rPr>
        <w:t>236</w:t>
      </w:r>
      <w:r w:rsidRPr="00D570AF">
        <w:rPr>
          <w:rFonts w:eastAsia="Times New Roman" w:cs="Times New Roman"/>
        </w:rPr>
        <w:t>-</w:t>
      </w:r>
      <w:r>
        <w:rPr>
          <w:rFonts w:eastAsia="Times New Roman" w:cs="Times New Roman"/>
        </w:rPr>
        <w:t>3209</w:t>
      </w:r>
    </w:p>
    <w:p w14:paraId="5A4DFCCA" w14:textId="77777777" w:rsidR="003074C5" w:rsidRDefault="0088777A" w:rsidP="003074C5">
      <w:pPr>
        <w:pStyle w:val="SBRSignatureBlockRight"/>
        <w:tabs>
          <w:tab w:val="right" w:pos="9360"/>
        </w:tabs>
      </w:pPr>
      <w:hyperlink r:id="rId10" w:history="1">
        <w:r w:rsidR="00B56896" w:rsidRPr="00CC606B">
          <w:rPr>
            <w:rStyle w:val="Hyperlink"/>
          </w:rPr>
          <w:t>mtomsu@velaw.com</w:t>
        </w:r>
      </w:hyperlink>
      <w:r w:rsidR="00B56896">
        <w:t xml:space="preserve"> </w:t>
      </w:r>
    </w:p>
    <w:p w14:paraId="62A58D14" w14:textId="0422267D" w:rsidR="003074C5" w:rsidRDefault="0088777A" w:rsidP="003074C5">
      <w:pPr>
        <w:pStyle w:val="SBRSignatureBlockRight"/>
        <w:tabs>
          <w:tab w:val="right" w:pos="9360"/>
        </w:tabs>
      </w:pPr>
      <w:hyperlink r:id="rId11" w:history="1">
        <w:r w:rsidR="00B56896" w:rsidRPr="00CC606B">
          <w:rPr>
            <w:rStyle w:val="Hyperlink"/>
            <w:rFonts w:eastAsia="Times New Roman" w:cs="Times New Roman"/>
          </w:rPr>
          <w:t>ssnyder@velaw.com</w:t>
        </w:r>
      </w:hyperlink>
    </w:p>
    <w:p w14:paraId="2D2B444E" w14:textId="77777777" w:rsidR="003074C5" w:rsidRDefault="003074C5" w:rsidP="003074C5">
      <w:pPr>
        <w:pStyle w:val="SBRSignatureBlockRight"/>
        <w:tabs>
          <w:tab w:val="right" w:pos="9360"/>
        </w:tabs>
      </w:pPr>
    </w:p>
    <w:p w14:paraId="6FE83555" w14:textId="77777777" w:rsidR="003074C5" w:rsidRDefault="003074C5" w:rsidP="003074C5">
      <w:pPr>
        <w:pStyle w:val="SBRSignatureBlockRight"/>
        <w:tabs>
          <w:tab w:val="right" w:pos="9360"/>
        </w:tabs>
      </w:pPr>
    </w:p>
    <w:p w14:paraId="4C33A28D" w14:textId="77777777" w:rsidR="003074C5" w:rsidRDefault="00B56896" w:rsidP="003074C5">
      <w:pPr>
        <w:pStyle w:val="SBRSignatureBlockRight"/>
        <w:tabs>
          <w:tab w:val="right" w:pos="9360"/>
        </w:tabs>
      </w:pPr>
      <w:r>
        <w:t>James J. Lee</w:t>
      </w:r>
    </w:p>
    <w:p w14:paraId="5579B9B4" w14:textId="39D6186A" w:rsidR="003074C5" w:rsidRDefault="00B56896" w:rsidP="003074C5">
      <w:pPr>
        <w:pStyle w:val="SBRSignatureBlockRight"/>
        <w:tabs>
          <w:tab w:val="right" w:pos="9360"/>
        </w:tabs>
      </w:pPr>
      <w:r>
        <w:t xml:space="preserve">Texas </w:t>
      </w:r>
      <w:proofErr w:type="gramStart"/>
      <w:r>
        <w:t>Bar</w:t>
      </w:r>
      <w:proofErr w:type="gramEnd"/>
      <w:r>
        <w:t xml:space="preserve"> No. 12074550  </w:t>
      </w:r>
    </w:p>
    <w:p w14:paraId="0E356EF0" w14:textId="77777777" w:rsidR="003074C5" w:rsidRDefault="00B56896" w:rsidP="003074C5">
      <w:pPr>
        <w:pStyle w:val="SBRSignatureBlockRight"/>
        <w:tabs>
          <w:tab w:val="right" w:pos="9360"/>
        </w:tabs>
      </w:pPr>
      <w:r>
        <w:t>VINSON &amp; ELKINS LLP</w:t>
      </w:r>
    </w:p>
    <w:p w14:paraId="557A0BA5" w14:textId="77777777" w:rsidR="003074C5" w:rsidRDefault="00B56896" w:rsidP="003074C5">
      <w:pPr>
        <w:pStyle w:val="SBRSignatureBlockRight"/>
        <w:tabs>
          <w:tab w:val="right" w:pos="9360"/>
        </w:tabs>
      </w:pPr>
      <w:r>
        <w:t>Trammell Crow Center</w:t>
      </w:r>
    </w:p>
    <w:p w14:paraId="58EE5357" w14:textId="77777777" w:rsidR="003074C5" w:rsidRDefault="00B56896" w:rsidP="003074C5">
      <w:pPr>
        <w:pStyle w:val="SBRSignatureBlockRight"/>
        <w:tabs>
          <w:tab w:val="right" w:pos="9360"/>
        </w:tabs>
      </w:pPr>
      <w:r>
        <w:t xml:space="preserve">2001 Ross Avenue, Suite 3700 </w:t>
      </w:r>
    </w:p>
    <w:p w14:paraId="3D945C6A" w14:textId="77777777" w:rsidR="003074C5" w:rsidRDefault="00B56896" w:rsidP="003074C5">
      <w:pPr>
        <w:pStyle w:val="SBRSignatureBlockRight"/>
        <w:tabs>
          <w:tab w:val="right" w:pos="9360"/>
        </w:tabs>
      </w:pPr>
      <w:r>
        <w:t xml:space="preserve">Dallas, TX 75201-2975 </w:t>
      </w:r>
    </w:p>
    <w:p w14:paraId="780476BF" w14:textId="77777777" w:rsidR="003074C5" w:rsidRDefault="00B56896" w:rsidP="003074C5">
      <w:pPr>
        <w:pStyle w:val="SBRSignatureBlockRight"/>
        <w:tabs>
          <w:tab w:val="right" w:pos="9360"/>
        </w:tabs>
      </w:pPr>
      <w:r>
        <w:t>Phone: (214) 220-7744</w:t>
      </w:r>
    </w:p>
    <w:p w14:paraId="37E536BE" w14:textId="6F71F162" w:rsidR="003074C5" w:rsidRDefault="00B56896" w:rsidP="003074C5">
      <w:pPr>
        <w:pStyle w:val="SBRSignatureBlockRight"/>
        <w:tabs>
          <w:tab w:val="right" w:pos="9360"/>
        </w:tabs>
      </w:pPr>
      <w:r>
        <w:t xml:space="preserve">Fax:  (214) 999-7744 </w:t>
      </w:r>
    </w:p>
    <w:p w14:paraId="00D3A936" w14:textId="77777777" w:rsidR="003074C5" w:rsidRDefault="0088777A" w:rsidP="003074C5">
      <w:pPr>
        <w:pStyle w:val="SBRSignatureBlockRight"/>
        <w:tabs>
          <w:tab w:val="right" w:pos="9360"/>
        </w:tabs>
      </w:pPr>
      <w:hyperlink r:id="rId12" w:history="1">
        <w:r w:rsidR="00B56896" w:rsidRPr="00CC606B">
          <w:rPr>
            <w:rStyle w:val="Hyperlink"/>
          </w:rPr>
          <w:t>jimlee@velaw.com</w:t>
        </w:r>
      </w:hyperlink>
      <w:r w:rsidR="00B56896">
        <w:t xml:space="preserve"> </w:t>
      </w:r>
    </w:p>
    <w:p w14:paraId="530F3723" w14:textId="77777777" w:rsidR="003074C5" w:rsidRDefault="003074C5" w:rsidP="003074C5">
      <w:pPr>
        <w:pStyle w:val="SBRSignatureBlockRight"/>
        <w:tabs>
          <w:tab w:val="right" w:pos="9360"/>
        </w:tabs>
      </w:pPr>
    </w:p>
    <w:p w14:paraId="1B05F4E8" w14:textId="60BB84E2" w:rsidR="003074C5" w:rsidRDefault="00B56896" w:rsidP="003074C5">
      <w:pPr>
        <w:pStyle w:val="SBRSignatureBlockRight"/>
        <w:tabs>
          <w:tab w:val="right" w:pos="9360"/>
        </w:tabs>
      </w:pPr>
      <w:r w:rsidRPr="004C2A91">
        <w:rPr>
          <w:i/>
        </w:rPr>
        <w:t>Attorneys for the Cit</w:t>
      </w:r>
      <w:r>
        <w:rPr>
          <w:i/>
        </w:rPr>
        <w:t>ies of Garland, Mesquite, Plano, and Richardson</w:t>
      </w:r>
    </w:p>
    <w:p w14:paraId="4C9C76DE" w14:textId="09C30E3D" w:rsidR="00B56896" w:rsidRDefault="00B56896" w:rsidP="003074C5">
      <w:pPr>
        <w:spacing w:after="0"/>
        <w:rPr>
          <w:i/>
        </w:rPr>
      </w:pPr>
    </w:p>
    <w:p w14:paraId="0B60FE18" w14:textId="14E5AF3E" w:rsidR="003074C5" w:rsidRDefault="003074C5">
      <w:pPr>
        <w:jc w:val="left"/>
      </w:pPr>
      <w:r>
        <w:br w:type="page"/>
      </w:r>
    </w:p>
    <w:p w14:paraId="244BD7CA" w14:textId="77777777" w:rsidR="00B316D4" w:rsidRPr="00E166FA" w:rsidRDefault="00B316D4" w:rsidP="00B316D4">
      <w:pPr>
        <w:jc w:val="center"/>
        <w:rPr>
          <w:rFonts w:cs="Arial"/>
          <w:b/>
          <w:bCs/>
        </w:rPr>
      </w:pPr>
      <w:r w:rsidRPr="00E166FA">
        <w:rPr>
          <w:rFonts w:cs="Arial"/>
          <w:b/>
          <w:bCs/>
        </w:rPr>
        <w:lastRenderedPageBreak/>
        <w:t>CERTIFICATE OF SERVICE</w:t>
      </w:r>
    </w:p>
    <w:p w14:paraId="0CA21702" w14:textId="16851DBE" w:rsidR="00B316D4" w:rsidRDefault="00B316D4" w:rsidP="00B316D4">
      <w:pPr>
        <w:ind w:firstLine="720"/>
        <w:rPr>
          <w:rFonts w:cs="Arial"/>
        </w:rPr>
      </w:pPr>
      <w:r w:rsidRPr="00E166FA">
        <w:rPr>
          <w:rFonts w:cs="Arial"/>
        </w:rPr>
        <w:t>I hereby certify that a true and correct copy of the foregoing</w:t>
      </w:r>
      <w:r w:rsidR="001373CE">
        <w:rPr>
          <w:rFonts w:cs="Arial"/>
        </w:rPr>
        <w:t xml:space="preserve"> document was served on all parties of record in this proceeding on </w:t>
      </w:r>
      <w:r w:rsidR="0075145B">
        <w:rPr>
          <w:rFonts w:cs="Arial"/>
        </w:rPr>
        <w:t>April 7</w:t>
      </w:r>
      <w:r w:rsidR="00100031">
        <w:rPr>
          <w:rFonts w:cs="Arial"/>
        </w:rPr>
        <w:t xml:space="preserve">, </w:t>
      </w:r>
      <w:r w:rsidR="002618FC">
        <w:rPr>
          <w:rFonts w:cs="Arial"/>
        </w:rPr>
        <w:t xml:space="preserve">2017, </w:t>
      </w:r>
      <w:r w:rsidR="001373CE">
        <w:rPr>
          <w:rFonts w:cs="Arial"/>
        </w:rPr>
        <w:t xml:space="preserve">in accordance with </w:t>
      </w:r>
      <w:r w:rsidR="001373CE" w:rsidRPr="00344955">
        <w:rPr>
          <w:rFonts w:cs="Arial"/>
        </w:rPr>
        <w:t>16 T</w:t>
      </w:r>
      <w:r w:rsidR="00344955" w:rsidRPr="00344955">
        <w:rPr>
          <w:rFonts w:cs="Arial"/>
        </w:rPr>
        <w:t>ex</w:t>
      </w:r>
      <w:r w:rsidR="001373CE" w:rsidRPr="00344955">
        <w:rPr>
          <w:rFonts w:cs="Arial"/>
        </w:rPr>
        <w:t xml:space="preserve">. Admin. </w:t>
      </w:r>
      <w:proofErr w:type="gramStart"/>
      <w:r w:rsidR="001373CE" w:rsidRPr="00344955">
        <w:rPr>
          <w:rFonts w:cs="Arial"/>
        </w:rPr>
        <w:t>Code</w:t>
      </w:r>
      <w:r w:rsidR="001373CE">
        <w:rPr>
          <w:rFonts w:cs="Arial"/>
        </w:rPr>
        <w:t xml:space="preserve"> </w:t>
      </w:r>
      <w:r w:rsidR="009665B3">
        <w:rPr>
          <w:rFonts w:cs="Arial"/>
        </w:rPr>
        <w:t xml:space="preserve">§ </w:t>
      </w:r>
      <w:r w:rsidR="001373CE">
        <w:rPr>
          <w:rFonts w:cs="Arial"/>
        </w:rPr>
        <w:t>22.74.</w:t>
      </w:r>
      <w:proofErr w:type="gramEnd"/>
      <w:r w:rsidRPr="00E166FA">
        <w:rPr>
          <w:rFonts w:cs="Arial"/>
        </w:rPr>
        <w:t xml:space="preserve"> </w:t>
      </w:r>
    </w:p>
    <w:p w14:paraId="4002AD49" w14:textId="46D636EF" w:rsidR="003074C5" w:rsidRDefault="00756C3A" w:rsidP="003074C5">
      <w:pPr>
        <w:pStyle w:val="SBRSignatureBlockRight"/>
        <w:tabs>
          <w:tab w:val="right" w:pos="9360"/>
        </w:tabs>
      </w:pPr>
      <w:r>
        <w:rPr>
          <w:rFonts w:cs="Arial"/>
          <w:u w:val="single"/>
        </w:rPr>
        <w:t>/s/</w:t>
      </w:r>
      <w:bookmarkStart w:id="16" w:name="_GoBack"/>
      <w:bookmarkEnd w:id="16"/>
      <w:r w:rsidR="003074C5">
        <w:rPr>
          <w:rFonts w:cs="Arial"/>
          <w:u w:val="single"/>
        </w:rPr>
        <w:tab/>
      </w:r>
      <w:r w:rsidR="003074C5">
        <w:rPr>
          <w:rFonts w:cs="Arial"/>
          <w:u w:val="single"/>
        </w:rPr>
        <w:tab/>
      </w:r>
      <w:r w:rsidR="00B316D4" w:rsidRPr="00E166FA">
        <w:rPr>
          <w:rFonts w:cs="Arial"/>
        </w:rPr>
        <w:br/>
      </w:r>
      <w:r w:rsidR="00646E6F">
        <w:rPr>
          <w:rFonts w:cs="Arial"/>
        </w:rPr>
        <w:t>Michael J.</w:t>
      </w:r>
      <w:r w:rsidR="0000097B">
        <w:rPr>
          <w:rFonts w:cs="Arial"/>
        </w:rPr>
        <w:t xml:space="preserve"> </w:t>
      </w:r>
      <w:proofErr w:type="spellStart"/>
      <w:r w:rsidR="0000097B">
        <w:rPr>
          <w:rFonts w:cs="Arial"/>
        </w:rPr>
        <w:t>Tomsu</w:t>
      </w:r>
      <w:proofErr w:type="spellEnd"/>
    </w:p>
    <w:p w14:paraId="1F362AF9" w14:textId="2D1AA3CA" w:rsidR="003074C5" w:rsidRDefault="003074C5">
      <w:pPr>
        <w:jc w:val="left"/>
      </w:pPr>
    </w:p>
    <w:sectPr w:rsidR="003074C5" w:rsidSect="003074C5">
      <w:footerReference w:type="default" r:id="rId13"/>
      <w:pgSz w:w="12240" w:h="15840"/>
      <w:pgMar w:top="1440" w:right="1440" w:bottom="1440" w:left="1440" w:header="720" w:footer="720" w:gutter="0"/>
      <w:pgNumType w:start="1"/>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BA1234E"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6E1ADCC" w14:textId="77777777" w:rsidR="003308AC" w:rsidRDefault="003308AC" w:rsidP="002F0FA6">
      <w:pPr>
        <w:spacing w:after="0"/>
      </w:pPr>
      <w:r>
        <w:separator/>
      </w:r>
    </w:p>
  </w:endnote>
  <w:endnote w:type="continuationSeparator" w:id="0">
    <w:p w14:paraId="326F93B3" w14:textId="77777777" w:rsidR="003308AC" w:rsidRDefault="003308AC" w:rsidP="002F0FA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imes New Roman Bold">
    <w:panose1 w:val="02020803070505020304"/>
    <w:charset w:val="00"/>
    <w:family w:val="roman"/>
    <w:notTrueType/>
    <w:pitch w:val="default"/>
    <w:sig w:usb0="00000003" w:usb1="00000000" w:usb2="00000000" w:usb3="00000000" w:csb0="00000001" w:csb1="00000000"/>
  </w:font>
  <w:font w:name="9999999">
    <w:altName w:val="Times New Roman"/>
    <w:panose1 w:val="00000000000000000000"/>
    <w:charset w:val="00"/>
    <w:family w:val="roman"/>
    <w:notTrueType/>
    <w:pitch w:val="default"/>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8D90EF" w14:textId="77777777" w:rsidR="00962110" w:rsidRDefault="00962110" w:rsidP="00962110">
    <w:pPr>
      <w:pStyle w:val="Footer"/>
      <w:jc w:val="left"/>
    </w:pPr>
    <w:r>
      <w:tab/>
    </w:r>
    <w:r>
      <w:fldChar w:fldCharType="begin"/>
    </w:r>
    <w:r>
      <w:instrText xml:space="preserve"> PAGE   \* MERGEFORMAT </w:instrText>
    </w:r>
    <w:r>
      <w:fldChar w:fldCharType="separate"/>
    </w:r>
    <w:r w:rsidR="00A91776">
      <w:rPr>
        <w:noProof/>
      </w:rPr>
      <w:t>i</w:t>
    </w:r>
    <w:r>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55D193" w14:textId="77777777" w:rsidR="003074C5" w:rsidRDefault="003074C5" w:rsidP="003F765D">
    <w:pPr>
      <w:pStyle w:val="Footer"/>
      <w:jc w:val="left"/>
    </w:pPr>
    <w:r>
      <w:tab/>
    </w:r>
    <w:r>
      <w:fldChar w:fldCharType="begin"/>
    </w:r>
    <w:r>
      <w:instrText xml:space="preserve"> PAGE   \* MERGEFORMAT </w:instrText>
    </w:r>
    <w:r>
      <w:fldChar w:fldCharType="separate"/>
    </w:r>
    <w:r w:rsidR="0088777A">
      <w:rPr>
        <w:noProof/>
      </w:rPr>
      <w:t>14</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1923672" w14:textId="77777777" w:rsidR="003308AC" w:rsidRDefault="003308AC" w:rsidP="002F0FA6">
      <w:pPr>
        <w:spacing w:after="0"/>
      </w:pPr>
      <w:r>
        <w:separator/>
      </w:r>
    </w:p>
  </w:footnote>
  <w:footnote w:type="continuationSeparator" w:id="0">
    <w:p w14:paraId="7C20DF0B" w14:textId="77777777" w:rsidR="003308AC" w:rsidRDefault="003308AC" w:rsidP="002F0FA6">
      <w:pPr>
        <w:spacing w:after="0"/>
      </w:pPr>
      <w:r>
        <w:continuationSeparator/>
      </w:r>
    </w:p>
  </w:footnote>
  <w:footnote w:id="1">
    <w:p w14:paraId="7C82C374" w14:textId="3516DC08" w:rsidR="003308AC" w:rsidRPr="001B72C0" w:rsidRDefault="003308AC">
      <w:pPr>
        <w:pStyle w:val="FootnoteText"/>
        <w:rPr>
          <w:rFonts w:cs="Times New Roman"/>
        </w:rPr>
      </w:pPr>
      <w:r w:rsidRPr="001B72C0">
        <w:rPr>
          <w:rStyle w:val="FootnoteReference"/>
          <w:rFonts w:cs="Times New Roman"/>
        </w:rPr>
        <w:footnoteRef/>
      </w:r>
      <w:r w:rsidRPr="001B72C0">
        <w:rPr>
          <w:rFonts w:cs="Times New Roman"/>
        </w:rPr>
        <w:t xml:space="preserve"> Petitioners received the District’s motion</w:t>
      </w:r>
      <w:r w:rsidR="00A73445">
        <w:rPr>
          <w:rFonts w:cs="Times New Roman"/>
        </w:rPr>
        <w:t>s</w:t>
      </w:r>
      <w:r w:rsidRPr="001B72C0">
        <w:rPr>
          <w:rFonts w:cs="Times New Roman"/>
        </w:rPr>
        <w:t xml:space="preserve"> on March 31, 2017.  This response is timely filed.  </w:t>
      </w:r>
      <w:r w:rsidRPr="001B72C0">
        <w:rPr>
          <w:rFonts w:cs="Times New Roman"/>
          <w:i/>
        </w:rPr>
        <w:t>See</w:t>
      </w:r>
      <w:r w:rsidRPr="001B72C0">
        <w:rPr>
          <w:rFonts w:cs="Times New Roman"/>
        </w:rPr>
        <w:t xml:space="preserve"> 16 Tex. Admin. </w:t>
      </w:r>
      <w:proofErr w:type="gramStart"/>
      <w:r w:rsidRPr="001B72C0">
        <w:rPr>
          <w:rFonts w:cs="Times New Roman"/>
        </w:rPr>
        <w:t>Code § 22.78(a).</w:t>
      </w:r>
      <w:proofErr w:type="gramEnd"/>
    </w:p>
  </w:footnote>
  <w:footnote w:id="2">
    <w:p w14:paraId="08BF8715" w14:textId="21565D04" w:rsidR="00BB0434" w:rsidRDefault="00BB0434" w:rsidP="00BB0434">
      <w:pPr>
        <w:pStyle w:val="FootnoteText"/>
      </w:pPr>
      <w:r>
        <w:rPr>
          <w:rStyle w:val="FootnoteReference"/>
        </w:rPr>
        <w:footnoteRef/>
      </w:r>
      <w:r>
        <w:t xml:space="preserve"> The Contract is the North Texas Municipal Water District Regional Supply Facilities Amendatory Contract entered into by Petitioners in 1988, as modified by the addition of the Cities of Allen and Frisco in 1999 and 2001, respectively.  </w:t>
      </w:r>
      <w:r w:rsidRPr="006B2BBA">
        <w:rPr>
          <w:i/>
        </w:rPr>
        <w:t>See</w:t>
      </w:r>
      <w:r>
        <w:t xml:space="preserve"> Contract, PUC Docket No. 46662, Item No. 12 (Notice of Errata) (Jan</w:t>
      </w:r>
      <w:r w:rsidR="00ED605F">
        <w:t>.</w:t>
      </w:r>
      <w:r>
        <w:t xml:space="preserve"> 12, 2017).</w:t>
      </w:r>
    </w:p>
  </w:footnote>
  <w:footnote w:id="3">
    <w:p w14:paraId="7AC67752" w14:textId="72E3F364" w:rsidR="000D2D0D" w:rsidRDefault="000D2D0D">
      <w:pPr>
        <w:pStyle w:val="FootnoteText"/>
      </w:pPr>
      <w:r>
        <w:rPr>
          <w:rStyle w:val="FootnoteReference"/>
        </w:rPr>
        <w:footnoteRef/>
      </w:r>
      <w:r>
        <w:t xml:space="preserve"> </w:t>
      </w:r>
      <w:r w:rsidRPr="000D2D0D">
        <w:rPr>
          <w:i/>
        </w:rPr>
        <w:t>See</w:t>
      </w:r>
      <w:r>
        <w:t xml:space="preserve"> </w:t>
      </w:r>
      <w:r w:rsidRPr="001B72C0">
        <w:rPr>
          <w:rFonts w:cs="Times New Roman"/>
        </w:rPr>
        <w:t xml:space="preserve">Original Petition </w:t>
      </w:r>
      <w:r>
        <w:rPr>
          <w:rFonts w:cs="Times New Roman"/>
        </w:rPr>
        <w:t xml:space="preserve">Appealing Wholesale Water Rates (“Petition”), </w:t>
      </w:r>
      <w:r>
        <w:t>Attachment D at p. 112, PUC Docket</w:t>
      </w:r>
      <w:r w:rsidR="00603C2F">
        <w:t xml:space="preserve"> No. 46662, Item No. 1 (Dec. 14,</w:t>
      </w:r>
      <w:r>
        <w:t xml:space="preserve"> 2016).</w:t>
      </w:r>
    </w:p>
  </w:footnote>
  <w:footnote w:id="4">
    <w:p w14:paraId="0FB88005" w14:textId="2DFD494D" w:rsidR="00FF3E41" w:rsidRDefault="00FF3E41">
      <w:pPr>
        <w:pStyle w:val="FootnoteText"/>
      </w:pPr>
      <w:r>
        <w:rPr>
          <w:rStyle w:val="FootnoteReference"/>
        </w:rPr>
        <w:footnoteRef/>
      </w:r>
      <w:r>
        <w:t xml:space="preserve"> </w:t>
      </w:r>
      <w:r w:rsidRPr="000D2D0D">
        <w:rPr>
          <w:i/>
        </w:rPr>
        <w:t>See</w:t>
      </w:r>
      <w:r>
        <w:t xml:space="preserve"> </w:t>
      </w:r>
      <w:r w:rsidRPr="001B72C0">
        <w:rPr>
          <w:rFonts w:cs="Times New Roman"/>
        </w:rPr>
        <w:t>Petition</w:t>
      </w:r>
      <w:r>
        <w:rPr>
          <w:rFonts w:cs="Times New Roman"/>
        </w:rPr>
        <w:t xml:space="preserve">, </w:t>
      </w:r>
      <w:r>
        <w:t>Attachment C</w:t>
      </w:r>
      <w:r w:rsidR="00603C2F">
        <w:t>,</w:t>
      </w:r>
      <w:r w:rsidR="00A73445">
        <w:t xml:space="preserve"> at p. 103</w:t>
      </w:r>
      <w:r w:rsidR="000D2D0D">
        <w:t>.</w:t>
      </w:r>
    </w:p>
  </w:footnote>
  <w:footnote w:id="5">
    <w:p w14:paraId="60FA31A9" w14:textId="73D93691" w:rsidR="003308AC" w:rsidRPr="001B72C0" w:rsidRDefault="003308AC" w:rsidP="003206EE">
      <w:pPr>
        <w:pStyle w:val="FootnoteText"/>
        <w:rPr>
          <w:rFonts w:cs="Times New Roman"/>
        </w:rPr>
      </w:pPr>
      <w:r w:rsidRPr="001B72C0">
        <w:rPr>
          <w:rStyle w:val="FootnoteReference"/>
          <w:rFonts w:cs="Times New Roman"/>
        </w:rPr>
        <w:footnoteRef/>
      </w:r>
      <w:r w:rsidRPr="001B72C0">
        <w:rPr>
          <w:rFonts w:cs="Times New Roman"/>
        </w:rPr>
        <w:t xml:space="preserve"> </w:t>
      </w:r>
      <w:r w:rsidRPr="001B72C0">
        <w:rPr>
          <w:rFonts w:cs="Times New Roman"/>
          <w:i/>
        </w:rPr>
        <w:t>See</w:t>
      </w:r>
      <w:r w:rsidRPr="001B72C0">
        <w:rPr>
          <w:rFonts w:cs="Times New Roman"/>
        </w:rPr>
        <w:t xml:space="preserve"> </w:t>
      </w:r>
      <w:r w:rsidR="00FF3E41">
        <w:rPr>
          <w:rFonts w:cs="Times New Roman"/>
        </w:rPr>
        <w:t>Petition</w:t>
      </w:r>
      <w:r w:rsidRPr="001B72C0">
        <w:rPr>
          <w:rFonts w:cs="Times New Roman"/>
        </w:rPr>
        <w:t xml:space="preserve"> at Attachment F.</w:t>
      </w:r>
    </w:p>
  </w:footnote>
  <w:footnote w:id="6">
    <w:p w14:paraId="794FFC2E" w14:textId="77777777" w:rsidR="003308AC" w:rsidRPr="001B72C0" w:rsidRDefault="003308AC" w:rsidP="003206EE">
      <w:pPr>
        <w:pStyle w:val="FootnoteText"/>
        <w:rPr>
          <w:rFonts w:cs="Times New Roman"/>
        </w:rPr>
      </w:pPr>
      <w:r w:rsidRPr="001B72C0">
        <w:rPr>
          <w:rStyle w:val="FootnoteReference"/>
          <w:rFonts w:cs="Times New Roman"/>
        </w:rPr>
        <w:footnoteRef/>
      </w:r>
      <w:r w:rsidRPr="001B72C0">
        <w:rPr>
          <w:rFonts w:cs="Times New Roman"/>
        </w:rPr>
        <w:t xml:space="preserve"> </w:t>
      </w:r>
      <w:r w:rsidRPr="001B72C0">
        <w:rPr>
          <w:rFonts w:cs="Times New Roman"/>
          <w:i/>
        </w:rPr>
        <w:t xml:space="preserve">See </w:t>
      </w:r>
      <w:r w:rsidRPr="001B72C0">
        <w:rPr>
          <w:rFonts w:cs="Times New Roman"/>
        </w:rPr>
        <w:t>Petition at 3.</w:t>
      </w:r>
    </w:p>
  </w:footnote>
  <w:footnote w:id="7">
    <w:p w14:paraId="0C8A5E1C" w14:textId="6B52EC6B" w:rsidR="003308AC" w:rsidRPr="001B72C0" w:rsidRDefault="003308AC" w:rsidP="003206EE">
      <w:pPr>
        <w:pStyle w:val="FootnoteText"/>
        <w:rPr>
          <w:rFonts w:cs="Times New Roman"/>
        </w:rPr>
      </w:pPr>
      <w:r w:rsidRPr="001B72C0">
        <w:rPr>
          <w:rStyle w:val="FootnoteReference"/>
          <w:rFonts w:cs="Times New Roman"/>
        </w:rPr>
        <w:footnoteRef/>
      </w:r>
      <w:r w:rsidRPr="001B72C0">
        <w:rPr>
          <w:rFonts w:cs="Times New Roman"/>
        </w:rPr>
        <w:t xml:space="preserve"> </w:t>
      </w:r>
      <w:r w:rsidRPr="001B72C0">
        <w:rPr>
          <w:rFonts w:cs="Times New Roman"/>
          <w:i/>
        </w:rPr>
        <w:t>See</w:t>
      </w:r>
      <w:r w:rsidRPr="001B72C0">
        <w:rPr>
          <w:rFonts w:cs="Times New Roman"/>
        </w:rPr>
        <w:t xml:space="preserve"> Commission Staff’s Recommendation</w:t>
      </w:r>
      <w:r w:rsidR="00BE4226">
        <w:rPr>
          <w:rFonts w:cs="Times New Roman"/>
        </w:rPr>
        <w:t xml:space="preserve"> at 4</w:t>
      </w:r>
      <w:r w:rsidR="00E61DA7">
        <w:rPr>
          <w:rFonts w:cs="Times New Roman"/>
        </w:rPr>
        <w:t>, PU</w:t>
      </w:r>
      <w:r w:rsidR="00BE4226">
        <w:rPr>
          <w:rFonts w:cs="Times New Roman"/>
        </w:rPr>
        <w:t>C Docket No. 46662, Item No. 14</w:t>
      </w:r>
      <w:r w:rsidRPr="001B72C0">
        <w:rPr>
          <w:rFonts w:cs="Times New Roman"/>
        </w:rPr>
        <w:t xml:space="preserve"> (Jan. 13, 2017).   Over the District’s objections, Commission Staff reaffirmed its determination and recommendation on January 30, 2017</w:t>
      </w:r>
      <w:r w:rsidR="003A4ED4" w:rsidRPr="001B72C0">
        <w:rPr>
          <w:rFonts w:cs="Times New Roman"/>
        </w:rPr>
        <w:t>.</w:t>
      </w:r>
      <w:r w:rsidRPr="001B72C0">
        <w:rPr>
          <w:rFonts w:cs="Times New Roman"/>
        </w:rPr>
        <w:t xml:space="preserve"> </w:t>
      </w:r>
      <w:r w:rsidR="00ED05A4">
        <w:rPr>
          <w:rFonts w:cs="Times New Roman"/>
        </w:rPr>
        <w:t xml:space="preserve"> </w:t>
      </w:r>
      <w:r w:rsidRPr="001B72C0">
        <w:rPr>
          <w:rFonts w:cs="Times New Roman"/>
          <w:i/>
        </w:rPr>
        <w:t>See</w:t>
      </w:r>
      <w:r w:rsidR="00ED05A4">
        <w:rPr>
          <w:rFonts w:cs="Times New Roman"/>
          <w:i/>
        </w:rPr>
        <w:t xml:space="preserve"> also</w:t>
      </w:r>
      <w:r w:rsidRPr="001B72C0">
        <w:rPr>
          <w:rFonts w:cs="Times New Roman"/>
        </w:rPr>
        <w:t xml:space="preserve"> Commission Staff’s Reply to the District’s Response on Sufficiency</w:t>
      </w:r>
      <w:r w:rsidR="00BE4226">
        <w:rPr>
          <w:rFonts w:cs="Times New Roman"/>
        </w:rPr>
        <w:t xml:space="preserve"> at 6</w:t>
      </w:r>
      <w:r w:rsidR="00E61DA7">
        <w:rPr>
          <w:rFonts w:cs="Times New Roman"/>
        </w:rPr>
        <w:t>, PUC Docket No. 46662</w:t>
      </w:r>
      <w:r w:rsidR="00BE4226">
        <w:rPr>
          <w:rFonts w:cs="Times New Roman"/>
        </w:rPr>
        <w:t>, Item No. 24</w:t>
      </w:r>
      <w:r w:rsidRPr="001B72C0">
        <w:rPr>
          <w:rFonts w:cs="Times New Roman"/>
        </w:rPr>
        <w:t xml:space="preserve"> (Jan. 30, 2017) (“Staff reaffirms its recommendation that the petition complies with the requirements in the Commission’s substantive rules.”).</w:t>
      </w:r>
    </w:p>
  </w:footnote>
  <w:footnote w:id="8">
    <w:p w14:paraId="262C1166" w14:textId="20D86E90" w:rsidR="00FC49D1" w:rsidRDefault="00FC49D1">
      <w:pPr>
        <w:pStyle w:val="FootnoteText"/>
      </w:pPr>
      <w:r>
        <w:rPr>
          <w:rStyle w:val="FootnoteReference"/>
        </w:rPr>
        <w:footnoteRef/>
      </w:r>
      <w:r>
        <w:t xml:space="preserve"> </w:t>
      </w:r>
      <w:proofErr w:type="gramStart"/>
      <w:r w:rsidR="00A73445" w:rsidRPr="00A73445">
        <w:rPr>
          <w:i/>
        </w:rPr>
        <w:t xml:space="preserve">See </w:t>
      </w:r>
      <w:r w:rsidR="00A73445">
        <w:t xml:space="preserve">District’s Response to Commission Staff’s Recommendation, PUC Docket </w:t>
      </w:r>
      <w:r w:rsidR="00ED05A4">
        <w:t>No. 46662, Item No. 19 (Jan. 23,</w:t>
      </w:r>
      <w:r w:rsidR="00A73445">
        <w:t xml:space="preserve"> 2017).</w:t>
      </w:r>
      <w:proofErr w:type="gramEnd"/>
    </w:p>
  </w:footnote>
  <w:footnote w:id="9">
    <w:p w14:paraId="6CFDAF48" w14:textId="77777777" w:rsidR="003308AC" w:rsidRPr="001B72C0" w:rsidRDefault="003308AC" w:rsidP="00EB587F">
      <w:pPr>
        <w:pStyle w:val="FootnoteText"/>
        <w:rPr>
          <w:rFonts w:cs="Times New Roman"/>
        </w:rPr>
      </w:pPr>
      <w:r w:rsidRPr="001B72C0">
        <w:rPr>
          <w:rStyle w:val="FootnoteReference"/>
          <w:rFonts w:cs="Times New Roman"/>
        </w:rPr>
        <w:footnoteRef/>
      </w:r>
      <w:r w:rsidRPr="001B72C0">
        <w:rPr>
          <w:rFonts w:cs="Times New Roman"/>
        </w:rPr>
        <w:t xml:space="preserve"> </w:t>
      </w:r>
      <w:r w:rsidRPr="001B72C0">
        <w:rPr>
          <w:rFonts w:cs="Times New Roman"/>
          <w:i/>
        </w:rPr>
        <w:t>See</w:t>
      </w:r>
      <w:r w:rsidRPr="001B72C0">
        <w:rPr>
          <w:rFonts w:cs="Times New Roman"/>
        </w:rPr>
        <w:t xml:space="preserve"> Petitioners’ Reply to District’s Response to Commission Staff’s Recommendation, PUC Docket No. 46662, </w:t>
      </w:r>
      <w:proofErr w:type="gramStart"/>
      <w:r w:rsidRPr="001B72C0">
        <w:rPr>
          <w:rFonts w:cs="Times New Roman"/>
        </w:rPr>
        <w:t>Item</w:t>
      </w:r>
      <w:proofErr w:type="gramEnd"/>
      <w:r w:rsidRPr="001B72C0">
        <w:rPr>
          <w:rFonts w:cs="Times New Roman"/>
        </w:rPr>
        <w:t xml:space="preserve"> No. 23 (Jan. 27, 2017).</w:t>
      </w:r>
    </w:p>
  </w:footnote>
  <w:footnote w:id="10">
    <w:p w14:paraId="5B3A55DD" w14:textId="77777777" w:rsidR="003308AC" w:rsidRPr="001B72C0" w:rsidRDefault="003308AC" w:rsidP="00EB587F">
      <w:pPr>
        <w:pStyle w:val="FootnoteText"/>
        <w:rPr>
          <w:rFonts w:cs="Times New Roman"/>
        </w:rPr>
      </w:pPr>
      <w:r w:rsidRPr="001B72C0">
        <w:rPr>
          <w:rStyle w:val="FootnoteReference"/>
          <w:rFonts w:cs="Times New Roman"/>
        </w:rPr>
        <w:footnoteRef/>
      </w:r>
      <w:r w:rsidRPr="001B72C0">
        <w:rPr>
          <w:rFonts w:cs="Times New Roman"/>
        </w:rPr>
        <w:t xml:space="preserve"> </w:t>
      </w:r>
      <w:r w:rsidRPr="001B72C0">
        <w:rPr>
          <w:rFonts w:cs="Times New Roman"/>
          <w:i/>
        </w:rPr>
        <w:t>See</w:t>
      </w:r>
      <w:r w:rsidRPr="001B72C0">
        <w:rPr>
          <w:rFonts w:cs="Times New Roman"/>
        </w:rPr>
        <w:t xml:space="preserve"> Commission Staff’s Reply to the North Texas Municipal Water District’s Response on Sufficiency, PUC Docket No. 46662, </w:t>
      </w:r>
      <w:proofErr w:type="gramStart"/>
      <w:r w:rsidRPr="001B72C0">
        <w:rPr>
          <w:rFonts w:cs="Times New Roman"/>
        </w:rPr>
        <w:t>Item</w:t>
      </w:r>
      <w:proofErr w:type="gramEnd"/>
      <w:r w:rsidRPr="001B72C0">
        <w:rPr>
          <w:rFonts w:cs="Times New Roman"/>
        </w:rPr>
        <w:t xml:space="preserve"> No. 24 (Jan. 30, 2017).</w:t>
      </w:r>
    </w:p>
  </w:footnote>
  <w:footnote w:id="11">
    <w:p w14:paraId="6BA70982" w14:textId="75CE9C09" w:rsidR="003308AC" w:rsidRPr="001B72C0" w:rsidRDefault="003308AC" w:rsidP="00EB587F">
      <w:pPr>
        <w:pStyle w:val="FootnoteText"/>
        <w:rPr>
          <w:rFonts w:cs="Times New Roman"/>
        </w:rPr>
      </w:pPr>
      <w:r w:rsidRPr="001B72C0">
        <w:rPr>
          <w:rStyle w:val="FootnoteReference"/>
          <w:rFonts w:cs="Times New Roman"/>
        </w:rPr>
        <w:footnoteRef/>
      </w:r>
      <w:r w:rsidRPr="001B72C0">
        <w:rPr>
          <w:rFonts w:cs="Times New Roman"/>
        </w:rPr>
        <w:t xml:space="preserve"> </w:t>
      </w:r>
      <w:r w:rsidR="00F11181" w:rsidRPr="00474E6B">
        <w:rPr>
          <w:rFonts w:cs="Times New Roman"/>
          <w:i/>
        </w:rPr>
        <w:t>See</w:t>
      </w:r>
      <w:r w:rsidR="00F11181" w:rsidRPr="001B72C0">
        <w:rPr>
          <w:rFonts w:cs="Times New Roman"/>
        </w:rPr>
        <w:t xml:space="preserve"> District’s Motion to Dismiss for Lack of Jurisdiction</w:t>
      </w:r>
      <w:r w:rsidR="009B4BBA">
        <w:rPr>
          <w:rFonts w:cs="Times New Roman"/>
        </w:rPr>
        <w:t xml:space="preserve"> (“Initial Motion to Dismiss”)</w:t>
      </w:r>
      <w:r w:rsidR="00F11181" w:rsidRPr="001B72C0">
        <w:rPr>
          <w:rFonts w:cs="Times New Roman"/>
        </w:rPr>
        <w:t>, PUC Docket No. 46662, Item No. 28 (Feb. 6, 2017).</w:t>
      </w:r>
      <w:r w:rsidRPr="001B72C0">
        <w:rPr>
          <w:rFonts w:cs="Times New Roman"/>
        </w:rPr>
        <w:t xml:space="preserve">  </w:t>
      </w:r>
    </w:p>
  </w:footnote>
  <w:footnote w:id="12">
    <w:p w14:paraId="381BEB42" w14:textId="756F8B3B" w:rsidR="003308AC" w:rsidRPr="001B72C0" w:rsidRDefault="003308AC" w:rsidP="00EB587F">
      <w:pPr>
        <w:pStyle w:val="FootnoteText"/>
        <w:rPr>
          <w:rFonts w:cs="Times New Roman"/>
        </w:rPr>
      </w:pPr>
      <w:r w:rsidRPr="001B72C0">
        <w:rPr>
          <w:rStyle w:val="FootnoteReference"/>
          <w:rFonts w:cs="Times New Roman"/>
        </w:rPr>
        <w:footnoteRef/>
      </w:r>
      <w:r w:rsidRPr="001B72C0">
        <w:rPr>
          <w:rFonts w:cs="Times New Roman"/>
        </w:rPr>
        <w:t xml:space="preserve"> </w:t>
      </w:r>
      <w:r w:rsidRPr="001B72C0">
        <w:rPr>
          <w:rFonts w:cs="Times New Roman"/>
          <w:i/>
        </w:rPr>
        <w:t>See</w:t>
      </w:r>
      <w:r w:rsidRPr="001B72C0">
        <w:rPr>
          <w:rFonts w:cs="Times New Roman"/>
        </w:rPr>
        <w:t xml:space="preserve"> Petitioners’ Response to District’s Motion to Dismiss, PUC Docket </w:t>
      </w:r>
      <w:r w:rsidR="00F11181" w:rsidRPr="001B72C0">
        <w:rPr>
          <w:rFonts w:cs="Times New Roman"/>
        </w:rPr>
        <w:t xml:space="preserve">No. 46662, </w:t>
      </w:r>
      <w:proofErr w:type="gramStart"/>
      <w:r w:rsidR="00F11181" w:rsidRPr="001B72C0">
        <w:rPr>
          <w:rFonts w:cs="Times New Roman"/>
        </w:rPr>
        <w:t>Item</w:t>
      </w:r>
      <w:proofErr w:type="gramEnd"/>
      <w:r w:rsidR="00F11181" w:rsidRPr="001B72C0">
        <w:rPr>
          <w:rFonts w:cs="Times New Roman"/>
        </w:rPr>
        <w:t xml:space="preserve"> No. 31 (Feb.</w:t>
      </w:r>
      <w:r w:rsidRPr="001B72C0">
        <w:rPr>
          <w:rFonts w:cs="Times New Roman"/>
        </w:rPr>
        <w:t xml:space="preserve"> 23, 2017).</w:t>
      </w:r>
    </w:p>
  </w:footnote>
  <w:footnote w:id="13">
    <w:p w14:paraId="221D0C55" w14:textId="77777777" w:rsidR="003308AC" w:rsidRPr="001B72C0" w:rsidRDefault="003308AC" w:rsidP="00EB587F">
      <w:pPr>
        <w:pStyle w:val="FootnoteText"/>
        <w:rPr>
          <w:rFonts w:cs="Times New Roman"/>
        </w:rPr>
      </w:pPr>
      <w:r w:rsidRPr="001B72C0">
        <w:rPr>
          <w:rStyle w:val="FootnoteReference"/>
          <w:rFonts w:cs="Times New Roman"/>
        </w:rPr>
        <w:footnoteRef/>
      </w:r>
      <w:r w:rsidRPr="001B72C0">
        <w:rPr>
          <w:rFonts w:cs="Times New Roman"/>
        </w:rPr>
        <w:t xml:space="preserve"> </w:t>
      </w:r>
      <w:r w:rsidRPr="001B72C0">
        <w:rPr>
          <w:rFonts w:cs="Times New Roman"/>
          <w:i/>
        </w:rPr>
        <w:t>See</w:t>
      </w:r>
      <w:r w:rsidRPr="001B72C0">
        <w:rPr>
          <w:rFonts w:cs="Times New Roman"/>
        </w:rPr>
        <w:t xml:space="preserve"> Reply to North Texas Municipal Water District’s Response to Petition and Motion to Dismiss, PUC Docket No. 46662, </w:t>
      </w:r>
      <w:proofErr w:type="gramStart"/>
      <w:r w:rsidRPr="001B72C0">
        <w:rPr>
          <w:rFonts w:cs="Times New Roman"/>
        </w:rPr>
        <w:t>Item</w:t>
      </w:r>
      <w:proofErr w:type="gramEnd"/>
      <w:r w:rsidRPr="001B72C0">
        <w:rPr>
          <w:rFonts w:cs="Times New Roman"/>
        </w:rPr>
        <w:t xml:space="preserve"> No. 34 (Feb. 27, 2017).</w:t>
      </w:r>
    </w:p>
  </w:footnote>
  <w:footnote w:id="14">
    <w:p w14:paraId="4F6EEC0C" w14:textId="27373BD1" w:rsidR="003308AC" w:rsidRPr="001B72C0" w:rsidRDefault="003308AC" w:rsidP="00EB587F">
      <w:pPr>
        <w:pStyle w:val="FootnoteText"/>
        <w:rPr>
          <w:rFonts w:cs="Times New Roman"/>
        </w:rPr>
      </w:pPr>
      <w:r w:rsidRPr="001B72C0">
        <w:rPr>
          <w:rStyle w:val="FootnoteReference"/>
          <w:rFonts w:cs="Times New Roman"/>
        </w:rPr>
        <w:footnoteRef/>
      </w:r>
      <w:r w:rsidRPr="001B72C0">
        <w:rPr>
          <w:rFonts w:cs="Times New Roman"/>
        </w:rPr>
        <w:t xml:space="preserve"> </w:t>
      </w:r>
      <w:r w:rsidRPr="001B72C0">
        <w:rPr>
          <w:rFonts w:cs="Times New Roman"/>
          <w:i/>
        </w:rPr>
        <w:t>See</w:t>
      </w:r>
      <w:r w:rsidRPr="001B72C0">
        <w:rPr>
          <w:rFonts w:cs="Times New Roman"/>
        </w:rPr>
        <w:t xml:space="preserve"> Commission Staff’s Response to North Texas Water District’s Motion to Dismiss for Lack of Jurisdiction, PUC Docket No. 46662, Item No. 36 (Mar. 6, 2017).  On March 8, Commission Staff filed a corrected response.  </w:t>
      </w:r>
      <w:r w:rsidRPr="001B72C0">
        <w:rPr>
          <w:rFonts w:cs="Times New Roman"/>
          <w:i/>
        </w:rPr>
        <w:t>See</w:t>
      </w:r>
      <w:r w:rsidRPr="001B72C0">
        <w:rPr>
          <w:rFonts w:cs="Times New Roman"/>
        </w:rPr>
        <w:t xml:space="preserve"> Commission Staff’s Corrected Response to North Texas Water District’s Motion to Dismiss for Lack of Jurisdiction, PUC Docket No. 46662, Item No. 37 (Mar. 8, 2017)</w:t>
      </w:r>
      <w:r w:rsidR="003A4ED4" w:rsidRPr="001B72C0">
        <w:rPr>
          <w:rFonts w:cs="Times New Roman"/>
        </w:rPr>
        <w:t>.</w:t>
      </w:r>
    </w:p>
  </w:footnote>
  <w:footnote w:id="15">
    <w:p w14:paraId="6CAFD1F7" w14:textId="2AFE5403" w:rsidR="003308AC" w:rsidRPr="001B72C0" w:rsidRDefault="003308AC">
      <w:pPr>
        <w:pStyle w:val="FootnoteText"/>
        <w:rPr>
          <w:rFonts w:cs="Times New Roman"/>
        </w:rPr>
      </w:pPr>
      <w:r w:rsidRPr="001B72C0">
        <w:rPr>
          <w:rStyle w:val="FootnoteReference"/>
          <w:rFonts w:cs="Times New Roman"/>
        </w:rPr>
        <w:footnoteRef/>
      </w:r>
      <w:r w:rsidRPr="001B72C0">
        <w:rPr>
          <w:rFonts w:cs="Times New Roman"/>
        </w:rPr>
        <w:t xml:space="preserve"> </w:t>
      </w:r>
      <w:r w:rsidR="003A4ED4" w:rsidRPr="001B72C0">
        <w:rPr>
          <w:rFonts w:cs="Times New Roman"/>
          <w:i/>
        </w:rPr>
        <w:t xml:space="preserve">N. Tex. </w:t>
      </w:r>
      <w:proofErr w:type="spellStart"/>
      <w:r w:rsidR="003A4ED4" w:rsidRPr="001B72C0">
        <w:rPr>
          <w:rFonts w:cs="Times New Roman"/>
          <w:i/>
        </w:rPr>
        <w:t>Mun</w:t>
      </w:r>
      <w:proofErr w:type="spellEnd"/>
      <w:r w:rsidR="003A4ED4" w:rsidRPr="001B72C0">
        <w:rPr>
          <w:rFonts w:cs="Times New Roman"/>
          <w:i/>
        </w:rPr>
        <w:t xml:space="preserve">. </w:t>
      </w:r>
      <w:proofErr w:type="gramStart"/>
      <w:r w:rsidR="003A4ED4" w:rsidRPr="001B72C0">
        <w:rPr>
          <w:rFonts w:cs="Times New Roman"/>
          <w:i/>
        </w:rPr>
        <w:t>Water Dist. v. Pub.</w:t>
      </w:r>
      <w:proofErr w:type="gramEnd"/>
      <w:r w:rsidR="003A4ED4" w:rsidRPr="001B72C0">
        <w:rPr>
          <w:rFonts w:cs="Times New Roman"/>
          <w:i/>
        </w:rPr>
        <w:t xml:space="preserve"> </w:t>
      </w:r>
      <w:proofErr w:type="gramStart"/>
      <w:r w:rsidR="003A4ED4" w:rsidRPr="001B72C0">
        <w:rPr>
          <w:rFonts w:cs="Times New Roman"/>
          <w:i/>
        </w:rPr>
        <w:t xml:space="preserve">Util. </w:t>
      </w:r>
      <w:proofErr w:type="spellStart"/>
      <w:r w:rsidR="003A4ED4" w:rsidRPr="001B72C0">
        <w:rPr>
          <w:rFonts w:cs="Times New Roman"/>
          <w:i/>
        </w:rPr>
        <w:t>Comm'n</w:t>
      </w:r>
      <w:proofErr w:type="spellEnd"/>
      <w:r w:rsidR="003A4ED4" w:rsidRPr="001B72C0">
        <w:rPr>
          <w:rFonts w:cs="Times New Roman"/>
          <w:i/>
        </w:rPr>
        <w:t xml:space="preserve"> of Tex.</w:t>
      </w:r>
      <w:r w:rsidR="003A4ED4" w:rsidRPr="001B72C0">
        <w:rPr>
          <w:rFonts w:cs="Times New Roman"/>
        </w:rPr>
        <w:t>, No.</w:t>
      </w:r>
      <w:proofErr w:type="gramEnd"/>
      <w:r w:rsidR="003A4ED4" w:rsidRPr="001B72C0">
        <w:rPr>
          <w:rFonts w:cs="Times New Roman"/>
        </w:rPr>
        <w:t xml:space="preserve"> D-1-</w:t>
      </w:r>
      <w:proofErr w:type="spellStart"/>
      <w:r w:rsidR="003A4ED4" w:rsidRPr="001B72C0">
        <w:rPr>
          <w:rFonts w:cs="Times New Roman"/>
        </w:rPr>
        <w:t>GN</w:t>
      </w:r>
      <w:proofErr w:type="spellEnd"/>
      <w:r w:rsidR="003A4ED4" w:rsidRPr="001B72C0">
        <w:rPr>
          <w:rFonts w:cs="Times New Roman"/>
        </w:rPr>
        <w:t xml:space="preserve">-17-000877 (Travis </w:t>
      </w:r>
      <w:proofErr w:type="spellStart"/>
      <w:r w:rsidR="003A4ED4" w:rsidRPr="001B72C0">
        <w:rPr>
          <w:rFonts w:cs="Times New Roman"/>
        </w:rPr>
        <w:t>Cty</w:t>
      </w:r>
      <w:proofErr w:type="spellEnd"/>
      <w:r w:rsidR="003A4ED4" w:rsidRPr="001B72C0">
        <w:rPr>
          <w:rFonts w:cs="Times New Roman"/>
        </w:rPr>
        <w:t>. Dist. Ct. Mar. 1, 2017)</w:t>
      </w:r>
      <w:r w:rsidR="00A36288" w:rsidRPr="001B72C0">
        <w:rPr>
          <w:rFonts w:cs="Times New Roman"/>
        </w:rPr>
        <w:t>.</w:t>
      </w:r>
    </w:p>
  </w:footnote>
  <w:footnote w:id="16">
    <w:p w14:paraId="1B21C5F5" w14:textId="2443202B" w:rsidR="003308AC" w:rsidRPr="001B72C0" w:rsidRDefault="003308AC">
      <w:pPr>
        <w:pStyle w:val="FootnoteText"/>
        <w:rPr>
          <w:rFonts w:cs="Times New Roman"/>
        </w:rPr>
      </w:pPr>
      <w:r w:rsidRPr="001B72C0">
        <w:rPr>
          <w:rStyle w:val="FootnoteReference"/>
          <w:rFonts w:cs="Times New Roman"/>
        </w:rPr>
        <w:footnoteRef/>
      </w:r>
      <w:r w:rsidRPr="001B72C0">
        <w:rPr>
          <w:rFonts w:cs="Times New Roman"/>
          <w:i/>
        </w:rPr>
        <w:t xml:space="preserve"> </w:t>
      </w:r>
      <w:r w:rsidR="00B2393E" w:rsidRPr="001B72C0">
        <w:rPr>
          <w:rFonts w:cs="Times New Roman"/>
          <w:i/>
        </w:rPr>
        <w:t>Ex Parte North Texas Municipal Water District</w:t>
      </w:r>
      <w:r w:rsidR="00B2393E" w:rsidRPr="001B72C0">
        <w:rPr>
          <w:rFonts w:cs="Times New Roman"/>
        </w:rPr>
        <w:t>, No. D-1-</w:t>
      </w:r>
      <w:proofErr w:type="spellStart"/>
      <w:r w:rsidR="00B2393E" w:rsidRPr="001B72C0">
        <w:rPr>
          <w:rFonts w:cs="Times New Roman"/>
        </w:rPr>
        <w:t>GN</w:t>
      </w:r>
      <w:proofErr w:type="spellEnd"/>
      <w:r w:rsidR="00B2393E" w:rsidRPr="001B72C0">
        <w:rPr>
          <w:rFonts w:cs="Times New Roman"/>
        </w:rPr>
        <w:t xml:space="preserve">-17-000861 (Travis </w:t>
      </w:r>
      <w:proofErr w:type="spellStart"/>
      <w:r w:rsidR="00B2393E" w:rsidRPr="001B72C0">
        <w:rPr>
          <w:rFonts w:cs="Times New Roman"/>
        </w:rPr>
        <w:t>Cty</w:t>
      </w:r>
      <w:proofErr w:type="spellEnd"/>
      <w:r w:rsidR="00B2393E" w:rsidRPr="001B72C0">
        <w:rPr>
          <w:rFonts w:cs="Times New Roman"/>
        </w:rPr>
        <w:t>. Dist. Ct. Mar. 1, 2017).</w:t>
      </w:r>
    </w:p>
  </w:footnote>
  <w:footnote w:id="17">
    <w:p w14:paraId="1EB7D073" w14:textId="3FD96DBB" w:rsidR="00D63BF1" w:rsidRDefault="00D63BF1">
      <w:pPr>
        <w:pStyle w:val="FootnoteText"/>
      </w:pPr>
      <w:r>
        <w:rPr>
          <w:rStyle w:val="FootnoteReference"/>
        </w:rPr>
        <w:footnoteRef/>
      </w:r>
      <w:r>
        <w:t xml:space="preserve"> </w:t>
      </w:r>
      <w:r w:rsidR="00B23B26">
        <w:rPr>
          <w:i/>
        </w:rPr>
        <w:t>See, e.g.,</w:t>
      </w:r>
      <w:r w:rsidR="00B23B26">
        <w:t xml:space="preserve"> </w:t>
      </w:r>
      <w:r w:rsidR="002E7CE3">
        <w:t xml:space="preserve">About the </w:t>
      </w:r>
      <w:proofErr w:type="spellStart"/>
      <w:r w:rsidR="002E7CE3">
        <w:t>PUCT</w:t>
      </w:r>
      <w:proofErr w:type="spellEnd"/>
      <w:r w:rsidR="002E7CE3">
        <w:t xml:space="preserve">, Public Utility Commission of Texas Mission &amp; History, </w:t>
      </w:r>
      <w:r w:rsidR="002E7CE3" w:rsidRPr="002E7CE3">
        <w:rPr>
          <w:i/>
        </w:rPr>
        <w:t>available at</w:t>
      </w:r>
      <w:r w:rsidR="002E7CE3">
        <w:t xml:space="preserve"> </w:t>
      </w:r>
      <w:hyperlink r:id="rId1" w:history="1">
        <w:r w:rsidR="002E7CE3" w:rsidRPr="00133992">
          <w:rPr>
            <w:rStyle w:val="Hyperlink"/>
          </w:rPr>
          <w:t>http://www.puc.texas.gov/agency/about/mission.aspx</w:t>
        </w:r>
      </w:hyperlink>
      <w:r w:rsidR="002E7CE3">
        <w:t xml:space="preserve">  (“We protect customers, foster competition, and promote high quality infrastructure. … For water and sewer utilities … the focus remains on the regulation of rates and services.”); </w:t>
      </w:r>
      <w:r w:rsidR="002E7CE3" w:rsidRPr="002E7CE3">
        <w:rPr>
          <w:i/>
        </w:rPr>
        <w:t>see also</w:t>
      </w:r>
      <w:r w:rsidR="002E7CE3">
        <w:t xml:space="preserve"> </w:t>
      </w:r>
      <w:r w:rsidR="00B23B26">
        <w:t>Tex. Water Code § 12.081(a) (“The powers and duties of all districts and authorities created under Article III, Section 52 and Article XVI, Section 59 of the Texas Constitution are subject to the continuing right of supervision of the State of Texas by and through the commission ….”).</w:t>
      </w:r>
    </w:p>
  </w:footnote>
  <w:footnote w:id="18">
    <w:p w14:paraId="3B029E95" w14:textId="3B4FF6EA" w:rsidR="000D2D0D" w:rsidRDefault="000D2D0D">
      <w:pPr>
        <w:pStyle w:val="FootnoteText"/>
      </w:pPr>
      <w:r>
        <w:rPr>
          <w:rStyle w:val="FootnoteReference"/>
        </w:rPr>
        <w:footnoteRef/>
      </w:r>
      <w:r>
        <w:t xml:space="preserve"> </w:t>
      </w:r>
      <w:r w:rsidR="00BB0434" w:rsidRPr="00BB0434">
        <w:rPr>
          <w:i/>
        </w:rPr>
        <w:t xml:space="preserve">See </w:t>
      </w:r>
      <w:r w:rsidR="00BF02BE">
        <w:t xml:space="preserve">Affidavit of Judd Sanderson in Support of Plaintiff’s TRO Application at </w:t>
      </w:r>
      <w:r w:rsidR="00BF02BE">
        <w:rPr>
          <w:rFonts w:cs="Times New Roman"/>
        </w:rPr>
        <w:t>¶</w:t>
      </w:r>
      <w:r w:rsidR="00BF02BE">
        <w:t xml:space="preserve">9, </w:t>
      </w:r>
      <w:r w:rsidR="00BF02BE" w:rsidRPr="001B72C0">
        <w:rPr>
          <w:rFonts w:cs="Times New Roman"/>
          <w:i/>
        </w:rPr>
        <w:t xml:space="preserve">N. Tex. </w:t>
      </w:r>
      <w:proofErr w:type="spellStart"/>
      <w:r w:rsidR="00BF02BE" w:rsidRPr="001B72C0">
        <w:rPr>
          <w:rFonts w:cs="Times New Roman"/>
          <w:i/>
        </w:rPr>
        <w:t>Mun</w:t>
      </w:r>
      <w:proofErr w:type="spellEnd"/>
      <w:r w:rsidR="00BF02BE" w:rsidRPr="001B72C0">
        <w:rPr>
          <w:rFonts w:cs="Times New Roman"/>
          <w:i/>
        </w:rPr>
        <w:t xml:space="preserve">. </w:t>
      </w:r>
      <w:proofErr w:type="gramStart"/>
      <w:r w:rsidR="00BF02BE" w:rsidRPr="001B72C0">
        <w:rPr>
          <w:rFonts w:cs="Times New Roman"/>
          <w:i/>
        </w:rPr>
        <w:t>Water Dist. v. Pub.</w:t>
      </w:r>
      <w:proofErr w:type="gramEnd"/>
      <w:r w:rsidR="00BF02BE" w:rsidRPr="001B72C0">
        <w:rPr>
          <w:rFonts w:cs="Times New Roman"/>
          <w:i/>
        </w:rPr>
        <w:t xml:space="preserve"> </w:t>
      </w:r>
      <w:proofErr w:type="gramStart"/>
      <w:r w:rsidR="00BF02BE" w:rsidRPr="001B72C0">
        <w:rPr>
          <w:rFonts w:cs="Times New Roman"/>
          <w:i/>
        </w:rPr>
        <w:t xml:space="preserve">Util. </w:t>
      </w:r>
      <w:proofErr w:type="spellStart"/>
      <w:r w:rsidR="00BF02BE" w:rsidRPr="001B72C0">
        <w:rPr>
          <w:rFonts w:cs="Times New Roman"/>
          <w:i/>
        </w:rPr>
        <w:t>Comm'n</w:t>
      </w:r>
      <w:proofErr w:type="spellEnd"/>
      <w:r w:rsidR="00BF02BE" w:rsidRPr="001B72C0">
        <w:rPr>
          <w:rFonts w:cs="Times New Roman"/>
          <w:i/>
        </w:rPr>
        <w:t xml:space="preserve"> of Tex.</w:t>
      </w:r>
      <w:r w:rsidR="00BF02BE" w:rsidRPr="001B72C0">
        <w:rPr>
          <w:rFonts w:cs="Times New Roman"/>
        </w:rPr>
        <w:t>, No.</w:t>
      </w:r>
      <w:proofErr w:type="gramEnd"/>
      <w:r w:rsidR="00BF02BE" w:rsidRPr="001B72C0">
        <w:rPr>
          <w:rFonts w:cs="Times New Roman"/>
        </w:rPr>
        <w:t xml:space="preserve"> D-1-</w:t>
      </w:r>
      <w:proofErr w:type="spellStart"/>
      <w:r w:rsidR="00BF02BE" w:rsidRPr="001B72C0">
        <w:rPr>
          <w:rFonts w:cs="Times New Roman"/>
        </w:rPr>
        <w:t>GN</w:t>
      </w:r>
      <w:proofErr w:type="spellEnd"/>
      <w:r w:rsidR="00BF02BE" w:rsidRPr="001B72C0">
        <w:rPr>
          <w:rFonts w:cs="Times New Roman"/>
        </w:rPr>
        <w:t xml:space="preserve">-17-000877 (Travis </w:t>
      </w:r>
      <w:proofErr w:type="spellStart"/>
      <w:r w:rsidR="00BF02BE" w:rsidRPr="001B72C0">
        <w:rPr>
          <w:rFonts w:cs="Times New Roman"/>
        </w:rPr>
        <w:t>Cty</w:t>
      </w:r>
      <w:proofErr w:type="spellEnd"/>
      <w:r w:rsidR="00BF02BE" w:rsidRPr="001B72C0">
        <w:rPr>
          <w:rFonts w:cs="Times New Roman"/>
        </w:rPr>
        <w:t xml:space="preserve">. Dist. Ct. Mar. </w:t>
      </w:r>
      <w:r w:rsidR="00BF02BE">
        <w:rPr>
          <w:rFonts w:cs="Times New Roman"/>
        </w:rPr>
        <w:t>7</w:t>
      </w:r>
      <w:r w:rsidR="00BF02BE" w:rsidRPr="001B72C0">
        <w:rPr>
          <w:rFonts w:cs="Times New Roman"/>
        </w:rPr>
        <w:t>, 2017)</w:t>
      </w:r>
      <w:r w:rsidR="00BF02BE">
        <w:rPr>
          <w:rFonts w:cs="Times New Roman"/>
        </w:rPr>
        <w:t xml:space="preserve"> (“The District plans to issue approximately $750,000,000 of new public security bonds in early 2018 in part to finance construction of the Lower Bois </w:t>
      </w:r>
      <w:proofErr w:type="spellStart"/>
      <w:r w:rsidR="00BF02BE">
        <w:rPr>
          <w:rFonts w:cs="Times New Roman"/>
        </w:rPr>
        <w:t>d’Arc</w:t>
      </w:r>
      <w:proofErr w:type="spellEnd"/>
      <w:r w:rsidR="00BF02BE">
        <w:rPr>
          <w:rFonts w:cs="Times New Roman"/>
        </w:rPr>
        <w:t xml:space="preserve"> Creek Reservoir project.”</w:t>
      </w:r>
      <w:r w:rsidR="004A23D4">
        <w:rPr>
          <w:rFonts w:cs="Times New Roman"/>
        </w:rPr>
        <w:t xml:space="preserve">) </w:t>
      </w:r>
      <w:proofErr w:type="gramStart"/>
      <w:r w:rsidR="004A23D4">
        <w:rPr>
          <w:rFonts w:cs="Times New Roman"/>
        </w:rPr>
        <w:t>(Attachment 1).</w:t>
      </w:r>
      <w:proofErr w:type="gramEnd"/>
    </w:p>
  </w:footnote>
  <w:footnote w:id="19">
    <w:p w14:paraId="35AE8A09" w14:textId="779D7609" w:rsidR="00FC49D1" w:rsidRDefault="00FC49D1" w:rsidP="00FC49D1">
      <w:pPr>
        <w:pStyle w:val="FootnoteText"/>
      </w:pPr>
      <w:r>
        <w:rPr>
          <w:rStyle w:val="FootnoteReference"/>
        </w:rPr>
        <w:footnoteRef/>
      </w:r>
      <w:r>
        <w:t xml:space="preserve"> </w:t>
      </w:r>
      <w:r w:rsidRPr="000D2D0D">
        <w:rPr>
          <w:i/>
        </w:rPr>
        <w:t>See</w:t>
      </w:r>
      <w:r>
        <w:t xml:space="preserve"> </w:t>
      </w:r>
      <w:r w:rsidRPr="001B72C0">
        <w:rPr>
          <w:rFonts w:cs="Times New Roman"/>
        </w:rPr>
        <w:t>Petition</w:t>
      </w:r>
      <w:r>
        <w:rPr>
          <w:rFonts w:cs="Times New Roman"/>
        </w:rPr>
        <w:t xml:space="preserve">, </w:t>
      </w:r>
      <w:r>
        <w:t xml:space="preserve">Attachment </w:t>
      </w:r>
      <w:proofErr w:type="spellStart"/>
      <w:r>
        <w:t>C</w:t>
      </w:r>
      <w:r w:rsidR="00A73445">
        <w:t xml:space="preserve"> at</w:t>
      </w:r>
      <w:proofErr w:type="spellEnd"/>
      <w:r w:rsidR="00A73445">
        <w:t xml:space="preserve"> p. 103</w:t>
      </w:r>
      <w:r>
        <w:t>.</w:t>
      </w:r>
    </w:p>
  </w:footnote>
  <w:footnote w:id="20">
    <w:p w14:paraId="3F766AD2" w14:textId="4A91B8B6" w:rsidR="00A66A61" w:rsidRDefault="00A66A61" w:rsidP="00A66A61">
      <w:pPr>
        <w:pStyle w:val="FootnoteText"/>
      </w:pPr>
      <w:r>
        <w:rPr>
          <w:rStyle w:val="FootnoteReference"/>
        </w:rPr>
        <w:footnoteRef/>
      </w:r>
      <w:r>
        <w:t xml:space="preserve"> </w:t>
      </w:r>
      <w:r w:rsidR="00F50F4F" w:rsidRPr="00F50F4F">
        <w:rPr>
          <w:i/>
        </w:rPr>
        <w:t>See</w:t>
      </w:r>
      <w:r w:rsidR="00F50F4F">
        <w:t xml:space="preserve"> Petition, Attachment D at p. 112.</w:t>
      </w:r>
    </w:p>
  </w:footnote>
  <w:footnote w:id="21">
    <w:p w14:paraId="45450A27" w14:textId="58CA4828" w:rsidR="009141FA" w:rsidRDefault="009141FA" w:rsidP="009141FA">
      <w:pPr>
        <w:pStyle w:val="FootnoteText"/>
      </w:pPr>
      <w:r>
        <w:rPr>
          <w:rStyle w:val="FootnoteReference"/>
        </w:rPr>
        <w:footnoteRef/>
      </w:r>
      <w:r>
        <w:t xml:space="preserve"> </w:t>
      </w:r>
      <w:r w:rsidRPr="00474E6B">
        <w:t xml:space="preserve"> </w:t>
      </w:r>
      <w:r>
        <w:t>North Texas Municipal Water District Minutes of the Regular Meeting of the Board of Directors, Item B, pp. 7-8 (Feb. 23, 2017) (“Board members expressed con</w:t>
      </w:r>
      <w:r w:rsidR="00A73445">
        <w:t>c</w:t>
      </w:r>
      <w:r>
        <w:t xml:space="preserve">ern over the $200,000 cost of pursuit of legal remedies … Board members questioned whether this expense could be funded from the rebate funds allocated to the four member cities that filed the petition with the </w:t>
      </w:r>
      <w:proofErr w:type="spellStart"/>
      <w:r>
        <w:t>PUCT</w:t>
      </w:r>
      <w:proofErr w:type="spellEnd"/>
      <w:r>
        <w:t xml:space="preserve">. Lauren </w:t>
      </w:r>
      <w:proofErr w:type="spellStart"/>
      <w:r>
        <w:t>Kalisek</w:t>
      </w:r>
      <w:proofErr w:type="spellEnd"/>
      <w:r>
        <w:t xml:space="preserve">, legal counsel, will research this question and provide a recommendation </w:t>
      </w:r>
      <w:r w:rsidR="0034691A">
        <w:t xml:space="preserve">at a later date.”) </w:t>
      </w:r>
      <w:proofErr w:type="gramStart"/>
      <w:r w:rsidR="0034691A">
        <w:t xml:space="preserve">(Attachment </w:t>
      </w:r>
      <w:r w:rsidR="00125F7D">
        <w:t>2</w:t>
      </w:r>
      <w:r>
        <w:t>).</w:t>
      </w:r>
      <w:proofErr w:type="gramEnd"/>
      <w:r w:rsidR="0034691A">
        <w:t xml:space="preserve">  These Board Minutes contain the District’s seal and are signed by the Board’s President and are therefore self-authenticating under Texas Rule of Evidence 902(1).</w:t>
      </w:r>
    </w:p>
  </w:footnote>
  <w:footnote w:id="22">
    <w:p w14:paraId="60DBAA01" w14:textId="25A47A4D" w:rsidR="00D63BF1" w:rsidRPr="009B4BBA" w:rsidRDefault="00D63BF1">
      <w:pPr>
        <w:pStyle w:val="FootnoteText"/>
      </w:pPr>
      <w:r>
        <w:rPr>
          <w:rStyle w:val="FootnoteReference"/>
        </w:rPr>
        <w:footnoteRef/>
      </w:r>
      <w:r>
        <w:t xml:space="preserve"> </w:t>
      </w:r>
      <w:r w:rsidR="009B4BBA">
        <w:rPr>
          <w:i/>
        </w:rPr>
        <w:t>See</w:t>
      </w:r>
      <w:r w:rsidR="009B4BBA" w:rsidRPr="00474E6B">
        <w:rPr>
          <w:i/>
        </w:rPr>
        <w:t>, e.g</w:t>
      </w:r>
      <w:r w:rsidR="009B4BBA">
        <w:t xml:space="preserve">., District’s Initial Motion to Dismiss at 6 (“The Commission lacks jurisdiction to consider the Petition because the Contract is not subject to challenge in any state court or other forum and is valid for all purposes as a matter of law.”); </w:t>
      </w:r>
      <w:r w:rsidR="009B4BBA" w:rsidRPr="00474E6B">
        <w:rPr>
          <w:i/>
        </w:rPr>
        <w:t>see also</w:t>
      </w:r>
      <w:r w:rsidR="009B4BBA">
        <w:t xml:space="preserve"> District’s</w:t>
      </w:r>
      <w:r w:rsidR="00E61DA7">
        <w:t xml:space="preserve"> Re-Urged Motion to Dismiss and Alternative Motion to Abate (“</w:t>
      </w:r>
      <w:r w:rsidR="009B4BBA">
        <w:t>Re-Urged Motion</w:t>
      </w:r>
      <w:r w:rsidR="00E61DA7">
        <w:t>”)</w:t>
      </w:r>
      <w:r w:rsidR="00BE4226">
        <w:t xml:space="preserve"> at 10</w:t>
      </w:r>
      <w:r w:rsidR="00E61DA7">
        <w:t>, PUC Docket No. 46662, Item No. 41</w:t>
      </w:r>
      <w:r w:rsidR="009B4BBA">
        <w:t xml:space="preserve"> </w:t>
      </w:r>
      <w:r w:rsidR="00E61DA7">
        <w:t xml:space="preserve">(March 31, 2017) </w:t>
      </w:r>
      <w:r w:rsidR="009B4BBA">
        <w:t>(“Because the Legislature has deemed the Contract incontestable—thereby unambiguously precluding judicial inquiry into the Contract in any forum—the Commission does not have subject-matter jurisdiction for the Petitioners’ contest of the Contract.”).</w:t>
      </w:r>
    </w:p>
  </w:footnote>
  <w:footnote w:id="23">
    <w:p w14:paraId="4DC82E9E" w14:textId="76E8552F" w:rsidR="00474E6B" w:rsidRDefault="00474E6B">
      <w:pPr>
        <w:pStyle w:val="FootnoteText"/>
      </w:pPr>
      <w:r>
        <w:rPr>
          <w:rStyle w:val="FootnoteReference"/>
        </w:rPr>
        <w:footnoteRef/>
      </w:r>
      <w:r>
        <w:t xml:space="preserve"> </w:t>
      </w:r>
      <w:r w:rsidR="00E52A63">
        <w:t xml:space="preserve">North Texas Municipal Water District Minutes of the Regular Meeting of the Board of Directors, Item B, pp. 7-8 (Feb. 23, 2017) </w:t>
      </w:r>
      <w:r>
        <w:t xml:space="preserve">(“Board Members expressed concern over the $200,000 cost of pursuit of legal remedies as well as the $50,000 previously authorized by the Board of Directors in January 2017. In response to a Board Member’s question, </w:t>
      </w:r>
      <w:proofErr w:type="spellStart"/>
      <w:r>
        <w:t>NTMWD</w:t>
      </w:r>
      <w:proofErr w:type="spellEnd"/>
      <w:r>
        <w:t xml:space="preserve"> staff confirmed that the $200,000 in funding would be funded by the Regional Water System Operating budget ….”) </w:t>
      </w:r>
      <w:proofErr w:type="gramStart"/>
      <w:r w:rsidR="00125F7D">
        <w:t>(Attachment 2</w:t>
      </w:r>
      <w:r w:rsidR="00E52A63">
        <w:t>).</w:t>
      </w:r>
      <w:proofErr w:type="gramEnd"/>
    </w:p>
  </w:footnote>
  <w:footnote w:id="24">
    <w:p w14:paraId="34B2D383" w14:textId="77777777" w:rsidR="00A1352B" w:rsidRPr="00330832" w:rsidRDefault="00A1352B" w:rsidP="00A1352B">
      <w:pPr>
        <w:pStyle w:val="FootnoteText"/>
        <w:rPr>
          <w:smallCaps/>
        </w:rPr>
      </w:pPr>
      <w:r>
        <w:rPr>
          <w:rStyle w:val="FootnoteReference"/>
        </w:rPr>
        <w:footnoteRef/>
      </w:r>
      <w:r>
        <w:t xml:space="preserve"> </w:t>
      </w:r>
      <w:r>
        <w:rPr>
          <w:smallCaps/>
        </w:rPr>
        <w:t xml:space="preserve">Tex. </w:t>
      </w:r>
      <w:proofErr w:type="gramStart"/>
      <w:r>
        <w:rPr>
          <w:smallCaps/>
        </w:rPr>
        <w:t xml:space="preserve">Util. Code §§ 11.001-66.016 </w:t>
      </w:r>
      <w:r>
        <w:t xml:space="preserve">(West 2016) </w:t>
      </w:r>
      <w:r>
        <w:rPr>
          <w:smallCaps/>
        </w:rPr>
        <w:t>(“</w:t>
      </w:r>
      <w:proofErr w:type="spellStart"/>
      <w:r>
        <w:rPr>
          <w:smallCaps/>
        </w:rPr>
        <w:t>PURA</w:t>
      </w:r>
      <w:proofErr w:type="spellEnd"/>
      <w:r>
        <w:rPr>
          <w:smallCaps/>
        </w:rPr>
        <w:t>”).</w:t>
      </w:r>
      <w:proofErr w:type="gramEnd"/>
    </w:p>
  </w:footnote>
  <w:footnote w:id="25">
    <w:p w14:paraId="6AC4AA3E" w14:textId="77777777" w:rsidR="00736F11" w:rsidRDefault="00736F11" w:rsidP="00736F11">
      <w:pPr>
        <w:pStyle w:val="FootnoteText"/>
      </w:pPr>
      <w:r w:rsidRPr="001B72C0">
        <w:rPr>
          <w:rStyle w:val="FootnoteReference"/>
          <w:rFonts w:cs="Times New Roman"/>
        </w:rPr>
        <w:footnoteRef/>
      </w:r>
      <w:r w:rsidRPr="001B72C0">
        <w:rPr>
          <w:rFonts w:cs="Times New Roman"/>
        </w:rPr>
        <w:t xml:space="preserve"> </w:t>
      </w:r>
      <w:r w:rsidRPr="001B72C0">
        <w:rPr>
          <w:rFonts w:cs="Times New Roman"/>
          <w:i/>
        </w:rPr>
        <w:t>See, e.g.,</w:t>
      </w:r>
      <w:r w:rsidRPr="001B72C0">
        <w:rPr>
          <w:rFonts w:cs="Times New Roman"/>
        </w:rPr>
        <w:t xml:space="preserve"> Tex. Water Code §§ 13.041(a) (“The utility commission may do all things, whether specifically designated in this chapter or implied in this chapter, necessary and convenient to the exercise of these powers and jurisdiction.”) &amp; 13.041(c) (“The … utility commission may call and hold hearings, administer oaths, receive evidence at hearings, issue subpoenas to compel the attendance of witnesses and the production of papers and documents, and make findings of fact and decisions with respect to administering this chapter or the rules, orders, or other actions of the … utility commission.”).</w:t>
      </w:r>
    </w:p>
  </w:footnote>
  <w:footnote w:id="26">
    <w:p w14:paraId="6ECDD743" w14:textId="5D0857B5" w:rsidR="003308AC" w:rsidRPr="001B72C0" w:rsidRDefault="003308AC">
      <w:pPr>
        <w:pStyle w:val="FootnoteText"/>
        <w:rPr>
          <w:rFonts w:cs="Times New Roman"/>
        </w:rPr>
      </w:pPr>
      <w:r w:rsidRPr="001B72C0">
        <w:rPr>
          <w:rStyle w:val="FootnoteReference"/>
          <w:rFonts w:cs="Times New Roman"/>
        </w:rPr>
        <w:footnoteRef/>
      </w:r>
      <w:r w:rsidR="00A73445">
        <w:rPr>
          <w:rFonts w:cs="Times New Roman"/>
        </w:rPr>
        <w:t xml:space="preserve"> 16 </w:t>
      </w:r>
      <w:proofErr w:type="spellStart"/>
      <w:r w:rsidR="00A73445">
        <w:rPr>
          <w:rFonts w:cs="Times New Roman"/>
        </w:rPr>
        <w:t>TAC</w:t>
      </w:r>
      <w:proofErr w:type="spellEnd"/>
      <w:r w:rsidRPr="001B72C0">
        <w:rPr>
          <w:rFonts w:cs="Times New Roman"/>
        </w:rPr>
        <w:t xml:space="preserve"> </w:t>
      </w:r>
      <w:r w:rsidR="00B2393E" w:rsidRPr="001B72C0">
        <w:rPr>
          <w:rFonts w:cs="Times New Roman"/>
        </w:rPr>
        <w:t xml:space="preserve">§ </w:t>
      </w:r>
      <w:r w:rsidRPr="001B72C0">
        <w:rPr>
          <w:rFonts w:cs="Times New Roman"/>
        </w:rPr>
        <w:t>22.181(e</w:t>
      </w:r>
      <w:proofErr w:type="gramStart"/>
      <w:r w:rsidRPr="001B72C0">
        <w:rPr>
          <w:rFonts w:cs="Times New Roman"/>
        </w:rPr>
        <w:t>)(</w:t>
      </w:r>
      <w:proofErr w:type="gramEnd"/>
      <w:r w:rsidRPr="001B72C0">
        <w:rPr>
          <w:rFonts w:cs="Times New Roman"/>
        </w:rPr>
        <w:t>4).</w:t>
      </w:r>
    </w:p>
  </w:footnote>
  <w:footnote w:id="27">
    <w:p w14:paraId="661AA872" w14:textId="0E6F3D9B" w:rsidR="001F0C45" w:rsidRPr="00474E6B" w:rsidRDefault="001F0C45">
      <w:pPr>
        <w:pStyle w:val="FootnoteText"/>
      </w:pPr>
      <w:r>
        <w:rPr>
          <w:rStyle w:val="FootnoteReference"/>
        </w:rPr>
        <w:footnoteRef/>
      </w:r>
      <w:r>
        <w:t xml:space="preserve"> </w:t>
      </w:r>
      <w:r w:rsidR="00474E6B">
        <w:rPr>
          <w:i/>
        </w:rPr>
        <w:t>See</w:t>
      </w:r>
      <w:r w:rsidR="00474E6B">
        <w:t xml:space="preserve"> Commission Staff’s Response to North Texas Water District’s Motion to Dismiss for Lack of Jurisdiction</w:t>
      </w:r>
      <w:r w:rsidR="00BE4226">
        <w:t xml:space="preserve"> at 2-3</w:t>
      </w:r>
      <w:r w:rsidR="00474E6B">
        <w:t xml:space="preserve">, PUC Docket No. 46662, Item No. 36 (Mar. 6, 2017) (“When a party brings a motion to dismiss, the motion must specify the grounds for dismissal, contain the material facts that support the motion and be accompanied by an affidavit that supports facts alleged in the motion.  The District’s motion pleads the existence of numerous facts, but fails to support the motion to dismiss with an affidavit.  Therefore, the District’s motion is procedurally defective and should be denied for failure to comply with 16 </w:t>
      </w:r>
      <w:proofErr w:type="spellStart"/>
      <w:r w:rsidR="00474E6B">
        <w:t>TAC</w:t>
      </w:r>
      <w:proofErr w:type="spellEnd"/>
      <w:r w:rsidR="00474E6B">
        <w:t xml:space="preserve"> § 22.181(e</w:t>
      </w:r>
      <w:proofErr w:type="gramStart"/>
      <w:r w:rsidR="00474E6B">
        <w:t>)(</w:t>
      </w:r>
      <w:proofErr w:type="gramEnd"/>
      <w:r w:rsidR="00474E6B">
        <w:t>1).”).</w:t>
      </w:r>
    </w:p>
  </w:footnote>
  <w:footnote w:id="28">
    <w:p w14:paraId="525D35D9" w14:textId="0B3766F2" w:rsidR="00073F5E" w:rsidRDefault="00073F5E">
      <w:pPr>
        <w:pStyle w:val="FootnoteText"/>
      </w:pPr>
      <w:r>
        <w:rPr>
          <w:rStyle w:val="FootnoteReference"/>
        </w:rPr>
        <w:footnoteRef/>
      </w:r>
      <w:r>
        <w:t xml:space="preserve"> For example, the District should have</w:t>
      </w:r>
      <w:r w:rsidR="00E921AA">
        <w:t>,</w:t>
      </w:r>
      <w:r>
        <w:t xml:space="preserve"> but did not</w:t>
      </w:r>
      <w:r w:rsidR="00E921AA">
        <w:t>,</w:t>
      </w:r>
      <w:r>
        <w:t xml:space="preserve"> include a statement that sets forth the material facts that support the motion.  </w:t>
      </w:r>
      <w:r w:rsidRPr="00073F5E">
        <w:rPr>
          <w:i/>
        </w:rPr>
        <w:t>See</w:t>
      </w:r>
      <w:r>
        <w:t xml:space="preserve"> 16 </w:t>
      </w:r>
      <w:proofErr w:type="spellStart"/>
      <w:r>
        <w:t>TAC</w:t>
      </w:r>
      <w:proofErr w:type="spellEnd"/>
      <w:r>
        <w:t xml:space="preserve"> 22.181(e</w:t>
      </w:r>
      <w:proofErr w:type="gramStart"/>
      <w:r>
        <w:t>)(</w:t>
      </w:r>
      <w:proofErr w:type="gramEnd"/>
      <w:r>
        <w:t>1)(A).</w:t>
      </w:r>
    </w:p>
  </w:footnote>
  <w:footnote w:id="29">
    <w:p w14:paraId="02AC8108" w14:textId="06664046" w:rsidR="003308AC" w:rsidRPr="001B72C0" w:rsidRDefault="003308AC">
      <w:pPr>
        <w:pStyle w:val="FootnoteText"/>
        <w:rPr>
          <w:rFonts w:cs="Times New Roman"/>
        </w:rPr>
      </w:pPr>
      <w:r w:rsidRPr="001B72C0">
        <w:rPr>
          <w:rStyle w:val="FootnoteReference"/>
          <w:rFonts w:cs="Times New Roman"/>
        </w:rPr>
        <w:footnoteRef/>
      </w:r>
      <w:r w:rsidR="00977C2B" w:rsidRPr="001B72C0">
        <w:rPr>
          <w:rFonts w:cs="Times New Roman"/>
        </w:rPr>
        <w:t xml:space="preserve"> </w:t>
      </w:r>
      <w:r w:rsidR="00977C2B" w:rsidRPr="001B72C0">
        <w:rPr>
          <w:rFonts w:cs="Times New Roman"/>
          <w:i/>
        </w:rPr>
        <w:t>See, e.g.</w:t>
      </w:r>
      <w:r w:rsidR="00977C2B" w:rsidRPr="001B72C0">
        <w:rPr>
          <w:rFonts w:cs="Times New Roman"/>
        </w:rPr>
        <w:t xml:space="preserve">, Contract § </w:t>
      </w:r>
      <w:r w:rsidRPr="001B72C0">
        <w:rPr>
          <w:rFonts w:cs="Times New Roman"/>
        </w:rPr>
        <w:t>9(a)</w:t>
      </w:r>
      <w:r w:rsidR="00977C2B" w:rsidRPr="001B72C0">
        <w:rPr>
          <w:rFonts w:cs="Times New Roman"/>
        </w:rPr>
        <w:t>, PUC Docket No. 46662, Item No. 12 (</w:t>
      </w:r>
      <w:r w:rsidRPr="001B72C0">
        <w:rPr>
          <w:rFonts w:cs="Times New Roman"/>
        </w:rPr>
        <w:t>“In compliance with the District’s duty to fix and from time to time revise the rates of compensation or charges for water sold and services rendered and made available by the District, the Annual Requirement will change from time to time ….”</w:t>
      </w:r>
      <w:r w:rsidR="00977C2B" w:rsidRPr="001B72C0">
        <w:rPr>
          <w:rFonts w:cs="Times New Roman"/>
        </w:rPr>
        <w:t>).</w:t>
      </w:r>
    </w:p>
  </w:footnote>
  <w:footnote w:id="30">
    <w:p w14:paraId="2DCBA8C0" w14:textId="37B7CC35" w:rsidR="003308AC" w:rsidRPr="001B72C0" w:rsidRDefault="003308AC">
      <w:pPr>
        <w:pStyle w:val="FootnoteText"/>
        <w:rPr>
          <w:rFonts w:cs="Times New Roman"/>
        </w:rPr>
      </w:pPr>
      <w:r w:rsidRPr="001B72C0">
        <w:rPr>
          <w:rStyle w:val="FootnoteReference"/>
          <w:rFonts w:cs="Times New Roman"/>
        </w:rPr>
        <w:footnoteRef/>
      </w:r>
      <w:r w:rsidRPr="001B72C0">
        <w:rPr>
          <w:rFonts w:cs="Times New Roman"/>
        </w:rPr>
        <w:t xml:space="preserve"> </w:t>
      </w:r>
      <w:r w:rsidR="00847157" w:rsidRPr="001B72C0">
        <w:rPr>
          <w:rFonts w:cs="Times New Roman"/>
          <w:i/>
        </w:rPr>
        <w:t>See</w:t>
      </w:r>
      <w:r w:rsidR="00847157" w:rsidRPr="001B72C0">
        <w:rPr>
          <w:rFonts w:cs="Times New Roman"/>
        </w:rPr>
        <w:t xml:space="preserve"> Petition at Attachment F.</w:t>
      </w:r>
    </w:p>
  </w:footnote>
  <w:footnote w:id="31">
    <w:p w14:paraId="2A3B89BE" w14:textId="6604FCB8" w:rsidR="003308AC" w:rsidRPr="001B72C0" w:rsidRDefault="003308AC">
      <w:pPr>
        <w:pStyle w:val="FootnoteText"/>
        <w:rPr>
          <w:rFonts w:cs="Times New Roman"/>
        </w:rPr>
      </w:pPr>
      <w:r w:rsidRPr="001B72C0">
        <w:rPr>
          <w:rStyle w:val="FootnoteReference"/>
          <w:rFonts w:cs="Times New Roman"/>
        </w:rPr>
        <w:footnoteRef/>
      </w:r>
      <w:r w:rsidRPr="001B72C0">
        <w:rPr>
          <w:rFonts w:cs="Times New Roman"/>
        </w:rPr>
        <w:t xml:space="preserve"> </w:t>
      </w:r>
      <w:r w:rsidR="00E52A63" w:rsidRPr="00733119">
        <w:rPr>
          <w:rFonts w:cs="Times New Roman"/>
          <w:i/>
        </w:rPr>
        <w:t>See, e.g.</w:t>
      </w:r>
      <w:r w:rsidR="00E52A63">
        <w:rPr>
          <w:rFonts w:cs="Times New Roman"/>
        </w:rPr>
        <w:t xml:space="preserve">, </w:t>
      </w:r>
      <w:r w:rsidRPr="001B72C0">
        <w:rPr>
          <w:rFonts w:cs="Times New Roman"/>
        </w:rPr>
        <w:t xml:space="preserve">Petition at </w:t>
      </w:r>
      <w:r w:rsidR="00E52A63">
        <w:rPr>
          <w:rFonts w:cs="Times New Roman"/>
        </w:rPr>
        <w:t>9 (“Effective September 23, 2016, the District charged and demanded rates from Petitioners that are not reasonable or just, are unreasonably preferential, prejudicial, or discriminatory, and adversely affect the public interest.</w:t>
      </w:r>
      <w:r w:rsidR="00E61DA7">
        <w:rPr>
          <w:rFonts w:cs="Times New Roman"/>
        </w:rPr>
        <w:t>”) &amp;</w:t>
      </w:r>
      <w:r w:rsidR="00E52A63">
        <w:rPr>
          <w:rFonts w:cs="Times New Roman"/>
        </w:rPr>
        <w:t xml:space="preserve"> </w:t>
      </w:r>
      <w:r w:rsidRPr="001B72C0">
        <w:rPr>
          <w:rFonts w:cs="Times New Roman"/>
        </w:rPr>
        <w:t>18</w:t>
      </w:r>
      <w:r w:rsidR="00E52A63">
        <w:rPr>
          <w:rFonts w:cs="Times New Roman"/>
        </w:rPr>
        <w:t xml:space="preserve"> (</w:t>
      </w:r>
      <w:r w:rsidRPr="001B72C0">
        <w:rPr>
          <w:rFonts w:cs="Times New Roman"/>
        </w:rPr>
        <w:t>“Petitioners respectfully request that the Commission find that the rates adversely affect the public interest.”</w:t>
      </w:r>
      <w:r w:rsidR="00E52A63">
        <w:rPr>
          <w:rFonts w:cs="Times New Roman"/>
        </w:rPr>
        <w:t>).</w:t>
      </w:r>
    </w:p>
  </w:footnote>
  <w:footnote w:id="32">
    <w:p w14:paraId="4DDF3066" w14:textId="7A94E481" w:rsidR="003308AC" w:rsidRPr="001B72C0" w:rsidRDefault="003308AC">
      <w:pPr>
        <w:pStyle w:val="FootnoteText"/>
        <w:rPr>
          <w:rFonts w:cs="Times New Roman"/>
        </w:rPr>
      </w:pPr>
      <w:r w:rsidRPr="001B72C0">
        <w:rPr>
          <w:rStyle w:val="FootnoteReference"/>
          <w:rFonts w:cs="Times New Roman"/>
        </w:rPr>
        <w:footnoteRef/>
      </w:r>
      <w:r w:rsidRPr="001B72C0">
        <w:rPr>
          <w:rFonts w:cs="Times New Roman"/>
        </w:rPr>
        <w:t xml:space="preserve"> </w:t>
      </w:r>
      <w:proofErr w:type="gramStart"/>
      <w:r w:rsidRPr="001B72C0">
        <w:rPr>
          <w:rFonts w:cs="Times New Roman"/>
          <w:i/>
        </w:rPr>
        <w:t>Canyon Reg. Water Auth. v. Guadalupe-Blanco River Auth.</w:t>
      </w:r>
      <w:r w:rsidRPr="001B72C0">
        <w:rPr>
          <w:rFonts w:cs="Times New Roman"/>
        </w:rPr>
        <w:t xml:space="preserve">, 286 </w:t>
      </w:r>
      <w:proofErr w:type="spellStart"/>
      <w:r w:rsidRPr="001B72C0">
        <w:rPr>
          <w:rFonts w:cs="Times New Roman"/>
        </w:rPr>
        <w:t>S.W.3d</w:t>
      </w:r>
      <w:proofErr w:type="spellEnd"/>
      <w:r w:rsidRPr="001B72C0">
        <w:rPr>
          <w:rFonts w:cs="Times New Roman"/>
        </w:rPr>
        <w:t xml:space="preserve"> 397, 403-04 (</w:t>
      </w:r>
      <w:proofErr w:type="spellStart"/>
      <w:r w:rsidRPr="001B72C0">
        <w:rPr>
          <w:rFonts w:cs="Times New Roman"/>
        </w:rPr>
        <w:t>Tex.App</w:t>
      </w:r>
      <w:proofErr w:type="spellEnd"/>
      <w:r w:rsidRPr="001B72C0">
        <w:rPr>
          <w:rFonts w:cs="Times New Roman"/>
        </w:rPr>
        <w:t>.-Corpus Christi 2008).</w:t>
      </w:r>
      <w:proofErr w:type="gramEnd"/>
    </w:p>
  </w:footnote>
  <w:footnote w:id="33">
    <w:p w14:paraId="1303F501" w14:textId="07458B00" w:rsidR="003308AC" w:rsidRPr="001B72C0" w:rsidRDefault="003308AC">
      <w:pPr>
        <w:pStyle w:val="FootnoteText"/>
        <w:rPr>
          <w:rFonts w:cs="Times New Roman"/>
        </w:rPr>
      </w:pPr>
      <w:r w:rsidRPr="001B72C0">
        <w:rPr>
          <w:rStyle w:val="FootnoteReference"/>
          <w:rFonts w:cs="Times New Roman"/>
        </w:rPr>
        <w:footnoteRef/>
      </w:r>
      <w:r w:rsidRPr="001B72C0">
        <w:rPr>
          <w:rFonts w:cs="Times New Roman"/>
        </w:rPr>
        <w:t xml:space="preserve"> </w:t>
      </w:r>
      <w:proofErr w:type="gramStart"/>
      <w:r w:rsidR="00847157" w:rsidRPr="001B72C0">
        <w:rPr>
          <w:rFonts w:cs="Times New Roman"/>
          <w:i/>
        </w:rPr>
        <w:t xml:space="preserve">Id. </w:t>
      </w:r>
      <w:r w:rsidR="00847157" w:rsidRPr="001B72C0">
        <w:rPr>
          <w:rFonts w:cs="Times New Roman"/>
        </w:rPr>
        <w:t>at 400</w:t>
      </w:r>
      <w:r w:rsidR="008655E1">
        <w:rPr>
          <w:rFonts w:cs="Times New Roman"/>
        </w:rPr>
        <w:t>-01</w:t>
      </w:r>
      <w:r w:rsidR="00847157" w:rsidRPr="001B72C0">
        <w:rPr>
          <w:rFonts w:cs="Times New Roman"/>
        </w:rPr>
        <w:t>.</w:t>
      </w:r>
      <w:proofErr w:type="gramEnd"/>
    </w:p>
  </w:footnote>
  <w:footnote w:id="34">
    <w:p w14:paraId="0BAE7EB5" w14:textId="47FCF8ED" w:rsidR="003308AC" w:rsidRPr="001B72C0" w:rsidRDefault="003308AC">
      <w:pPr>
        <w:pStyle w:val="FootnoteText"/>
        <w:rPr>
          <w:rFonts w:cs="Times New Roman"/>
        </w:rPr>
      </w:pPr>
      <w:r w:rsidRPr="001B72C0">
        <w:rPr>
          <w:rStyle w:val="FootnoteReference"/>
          <w:rFonts w:cs="Times New Roman"/>
        </w:rPr>
        <w:footnoteRef/>
      </w:r>
      <w:r w:rsidRPr="001B72C0">
        <w:rPr>
          <w:rFonts w:cs="Times New Roman"/>
        </w:rPr>
        <w:t xml:space="preserve"> </w:t>
      </w:r>
      <w:proofErr w:type="gramStart"/>
      <w:r w:rsidR="00847157" w:rsidRPr="001B72C0">
        <w:rPr>
          <w:rFonts w:cs="Times New Roman"/>
          <w:i/>
        </w:rPr>
        <w:t xml:space="preserve">Id. </w:t>
      </w:r>
      <w:r w:rsidR="00847157" w:rsidRPr="001B72C0">
        <w:rPr>
          <w:rFonts w:cs="Times New Roman"/>
        </w:rPr>
        <w:t>at 403.</w:t>
      </w:r>
      <w:proofErr w:type="gramEnd"/>
    </w:p>
  </w:footnote>
  <w:footnote w:id="35">
    <w:p w14:paraId="117E39EF" w14:textId="5C153E70" w:rsidR="003308AC" w:rsidRPr="001B72C0" w:rsidRDefault="003308AC">
      <w:pPr>
        <w:pStyle w:val="FootnoteText"/>
        <w:rPr>
          <w:rFonts w:cs="Times New Roman"/>
          <w:i/>
        </w:rPr>
      </w:pPr>
      <w:r w:rsidRPr="001B72C0">
        <w:rPr>
          <w:rStyle w:val="FootnoteReference"/>
          <w:rFonts w:cs="Times New Roman"/>
        </w:rPr>
        <w:footnoteRef/>
      </w:r>
      <w:r w:rsidRPr="001B72C0">
        <w:rPr>
          <w:rFonts w:cs="Times New Roman"/>
        </w:rPr>
        <w:t xml:space="preserve"> </w:t>
      </w:r>
      <w:r w:rsidR="005571CB" w:rsidRPr="001B72C0">
        <w:rPr>
          <w:rFonts w:cs="Times New Roman"/>
          <w:i/>
        </w:rPr>
        <w:t>Id.</w:t>
      </w:r>
    </w:p>
  </w:footnote>
  <w:footnote w:id="36">
    <w:p w14:paraId="79C6DBF8" w14:textId="78DFAAA7" w:rsidR="003308AC" w:rsidRPr="001B72C0" w:rsidRDefault="003308AC">
      <w:pPr>
        <w:pStyle w:val="FootnoteText"/>
        <w:rPr>
          <w:rFonts w:cs="Times New Roman"/>
        </w:rPr>
      </w:pPr>
      <w:r w:rsidRPr="001B72C0">
        <w:rPr>
          <w:rStyle w:val="FootnoteReference"/>
          <w:rFonts w:cs="Times New Roman"/>
        </w:rPr>
        <w:footnoteRef/>
      </w:r>
      <w:r w:rsidRPr="001B72C0">
        <w:rPr>
          <w:rFonts w:cs="Times New Roman"/>
        </w:rPr>
        <w:t xml:space="preserve"> </w:t>
      </w:r>
      <w:r w:rsidR="00BE4226" w:rsidRPr="00BE4226">
        <w:rPr>
          <w:rFonts w:cs="Times New Roman"/>
          <w:i/>
        </w:rPr>
        <w:t>See</w:t>
      </w:r>
      <w:r w:rsidR="00BE4226">
        <w:rPr>
          <w:rFonts w:cs="Times New Roman"/>
        </w:rPr>
        <w:t xml:space="preserve"> </w:t>
      </w:r>
      <w:r w:rsidRPr="001B72C0">
        <w:rPr>
          <w:rFonts w:cs="Times New Roman"/>
        </w:rPr>
        <w:t>District</w:t>
      </w:r>
      <w:r w:rsidR="005571CB" w:rsidRPr="001B72C0">
        <w:rPr>
          <w:rFonts w:cs="Times New Roman"/>
        </w:rPr>
        <w:t xml:space="preserve">’s Re-Urged Motion </w:t>
      </w:r>
      <w:r w:rsidR="00BE4226">
        <w:rPr>
          <w:rFonts w:cs="Times New Roman"/>
        </w:rPr>
        <w:t>at 10.</w:t>
      </w:r>
    </w:p>
  </w:footnote>
  <w:footnote w:id="37">
    <w:p w14:paraId="16748682" w14:textId="61029E19" w:rsidR="000A68D0" w:rsidRDefault="000A68D0">
      <w:pPr>
        <w:pStyle w:val="FootnoteText"/>
      </w:pPr>
      <w:r>
        <w:rPr>
          <w:rStyle w:val="FootnoteReference"/>
        </w:rPr>
        <w:footnoteRef/>
      </w:r>
      <w:r>
        <w:t xml:space="preserve"> </w:t>
      </w:r>
      <w:r w:rsidRPr="000A68D0">
        <w:t>In light of the District’s challenge to the Commission’s jurisdiction based on the threatened application of the public interest rules, it is noteworthy that the court also affirmed the validity of the public interest rules.  Specifically, the court held that  the public interest rule governing appeals of wholesale rates set pursuant to contracts “is a permissible administrative rule given that the water code’s regulatory scheme favors contracts between governmental entities for the supply of water,”  that “the Commission promulgated an administrative rule that, at least in its opinion, protects legislatively created contractual rights between governmental entities,” and that “there is no compelling reason to disturb the rate-reviewing scheme.”</w:t>
      </w:r>
      <w:r w:rsidRPr="000A68D0">
        <w:rPr>
          <w:i/>
        </w:rPr>
        <w:t xml:space="preserve"> </w:t>
      </w:r>
      <w:r w:rsidR="00073F5E" w:rsidRPr="00073F5E">
        <w:rPr>
          <w:rFonts w:cs="Times New Roman"/>
          <w:i/>
        </w:rPr>
        <w:t xml:space="preserve"> </w:t>
      </w:r>
      <w:proofErr w:type="gramStart"/>
      <w:r w:rsidR="00073F5E" w:rsidRPr="001B72C0">
        <w:rPr>
          <w:rFonts w:cs="Times New Roman"/>
          <w:i/>
        </w:rPr>
        <w:t>Canyon Reg. Water Auth. v. Guadalupe-Blanco River Auth.</w:t>
      </w:r>
      <w:r w:rsidR="00073F5E" w:rsidRPr="001B72C0">
        <w:rPr>
          <w:rFonts w:cs="Times New Roman"/>
        </w:rPr>
        <w:t xml:space="preserve">, 286 </w:t>
      </w:r>
      <w:proofErr w:type="spellStart"/>
      <w:r w:rsidR="00073F5E" w:rsidRPr="001B72C0">
        <w:rPr>
          <w:rFonts w:cs="Times New Roman"/>
        </w:rPr>
        <w:t>S.W.3d</w:t>
      </w:r>
      <w:proofErr w:type="spellEnd"/>
      <w:r w:rsidR="00073F5E" w:rsidRPr="001B72C0">
        <w:rPr>
          <w:rFonts w:cs="Times New Roman"/>
        </w:rPr>
        <w:t xml:space="preserve"> 397, </w:t>
      </w:r>
      <w:r w:rsidR="00073F5E">
        <w:rPr>
          <w:rFonts w:cs="Times New Roman"/>
        </w:rPr>
        <w:t>405-06</w:t>
      </w:r>
      <w:r w:rsidR="00073F5E" w:rsidRPr="001B72C0">
        <w:rPr>
          <w:rFonts w:cs="Times New Roman"/>
        </w:rPr>
        <w:t xml:space="preserve"> (</w:t>
      </w:r>
      <w:proofErr w:type="spellStart"/>
      <w:r w:rsidR="00073F5E" w:rsidRPr="001B72C0">
        <w:rPr>
          <w:rFonts w:cs="Times New Roman"/>
        </w:rPr>
        <w:t>Tex.App</w:t>
      </w:r>
      <w:proofErr w:type="spellEnd"/>
      <w:r w:rsidR="00073F5E" w:rsidRPr="001B72C0">
        <w:rPr>
          <w:rFonts w:cs="Times New Roman"/>
        </w:rPr>
        <w:t>.-Corpus Christi 2008).</w:t>
      </w:r>
      <w:proofErr w:type="gramEnd"/>
    </w:p>
  </w:footnote>
  <w:footnote w:id="38">
    <w:p w14:paraId="4F253786" w14:textId="6F457D47" w:rsidR="003308AC" w:rsidRPr="001B72C0" w:rsidRDefault="003308AC">
      <w:pPr>
        <w:pStyle w:val="FootnoteText"/>
        <w:rPr>
          <w:rFonts w:cs="Times New Roman"/>
        </w:rPr>
      </w:pPr>
      <w:r w:rsidRPr="001B72C0">
        <w:rPr>
          <w:rStyle w:val="FootnoteReference"/>
          <w:rFonts w:cs="Times New Roman"/>
        </w:rPr>
        <w:footnoteRef/>
      </w:r>
      <w:r w:rsidRPr="001B72C0">
        <w:rPr>
          <w:rFonts w:cs="Times New Roman"/>
        </w:rPr>
        <w:t xml:space="preserve"> </w:t>
      </w:r>
      <w:proofErr w:type="gramStart"/>
      <w:r w:rsidR="00073F5E" w:rsidRPr="00446929">
        <w:rPr>
          <w:i/>
        </w:rPr>
        <w:t>Texas Water Commission v. City of Fort Worth,</w:t>
      </w:r>
      <w:r w:rsidR="00073F5E" w:rsidRPr="000A68D0">
        <w:t xml:space="preserve"> 875 </w:t>
      </w:r>
      <w:proofErr w:type="spellStart"/>
      <w:r w:rsidR="00073F5E" w:rsidRPr="000A68D0">
        <w:t>S.W.2d</w:t>
      </w:r>
      <w:proofErr w:type="spellEnd"/>
      <w:r w:rsidR="00073F5E" w:rsidRPr="000A68D0">
        <w:t xml:space="preserve"> 332</w:t>
      </w:r>
      <w:r w:rsidR="00073F5E">
        <w:t>, 335</w:t>
      </w:r>
      <w:r w:rsidR="00073F5E" w:rsidRPr="000A68D0">
        <w:t xml:space="preserve"> (</w:t>
      </w:r>
      <w:proofErr w:type="spellStart"/>
      <w:r w:rsidR="00073F5E" w:rsidRPr="000A68D0">
        <w:t>Tex.App</w:t>
      </w:r>
      <w:proofErr w:type="spellEnd"/>
      <w:r w:rsidR="00073F5E" w:rsidRPr="000A68D0">
        <w:t>.-Austin 1994, writ denied).</w:t>
      </w:r>
      <w:proofErr w:type="gramEnd"/>
    </w:p>
  </w:footnote>
  <w:footnote w:id="39">
    <w:p w14:paraId="5CB9F931" w14:textId="5B5DDF32" w:rsidR="00A02009" w:rsidRPr="001B72C0" w:rsidRDefault="00A02009">
      <w:pPr>
        <w:pStyle w:val="FootnoteText"/>
        <w:rPr>
          <w:rFonts w:cs="Times New Roman"/>
        </w:rPr>
      </w:pPr>
      <w:r w:rsidRPr="001B72C0">
        <w:rPr>
          <w:rStyle w:val="FootnoteReference"/>
          <w:rFonts w:cs="Times New Roman"/>
        </w:rPr>
        <w:footnoteRef/>
      </w:r>
      <w:r w:rsidRPr="001B72C0">
        <w:rPr>
          <w:rFonts w:cs="Times New Roman"/>
        </w:rPr>
        <w:t xml:space="preserve"> </w:t>
      </w:r>
      <w:proofErr w:type="gramStart"/>
      <w:r w:rsidRPr="001B72C0">
        <w:rPr>
          <w:rFonts w:cs="Times New Roman"/>
          <w:i/>
        </w:rPr>
        <w:t xml:space="preserve">Id. </w:t>
      </w:r>
      <w:r w:rsidRPr="001B72C0">
        <w:rPr>
          <w:rFonts w:cs="Times New Roman"/>
        </w:rPr>
        <w:t>at 335-36.</w:t>
      </w:r>
      <w:proofErr w:type="gramEnd"/>
    </w:p>
  </w:footnote>
  <w:footnote w:id="40">
    <w:p w14:paraId="3EB4BFC4" w14:textId="25729AE8" w:rsidR="003308AC" w:rsidRPr="001B72C0" w:rsidRDefault="003308AC">
      <w:pPr>
        <w:pStyle w:val="FootnoteText"/>
        <w:rPr>
          <w:rFonts w:cs="Times New Roman"/>
        </w:rPr>
      </w:pPr>
      <w:r w:rsidRPr="001B72C0">
        <w:rPr>
          <w:rStyle w:val="FootnoteReference"/>
          <w:rFonts w:cs="Times New Roman"/>
        </w:rPr>
        <w:footnoteRef/>
      </w:r>
      <w:r w:rsidRPr="001B72C0">
        <w:rPr>
          <w:rFonts w:cs="Times New Roman"/>
        </w:rPr>
        <w:t xml:space="preserve"> </w:t>
      </w:r>
      <w:r w:rsidR="00977C2B" w:rsidRPr="001B72C0">
        <w:rPr>
          <w:rFonts w:cs="Times New Roman"/>
        </w:rPr>
        <w:t>19 Tex. Reg. 6,227 (Aug. 9, 1994).</w:t>
      </w:r>
    </w:p>
  </w:footnote>
  <w:footnote w:id="41">
    <w:p w14:paraId="0B3B7214" w14:textId="38AD78BE" w:rsidR="003308AC" w:rsidRPr="001B72C0" w:rsidRDefault="003308AC">
      <w:pPr>
        <w:pStyle w:val="FootnoteText"/>
        <w:rPr>
          <w:rFonts w:cs="Times New Roman"/>
        </w:rPr>
      </w:pPr>
      <w:r w:rsidRPr="001B72C0">
        <w:rPr>
          <w:rStyle w:val="FootnoteReference"/>
          <w:rFonts w:cs="Times New Roman"/>
        </w:rPr>
        <w:footnoteRef/>
      </w:r>
      <w:r w:rsidRPr="001B72C0">
        <w:rPr>
          <w:rFonts w:cs="Times New Roman"/>
        </w:rPr>
        <w:t xml:space="preserve"> </w:t>
      </w:r>
      <w:r w:rsidR="00977C2B" w:rsidRPr="001B72C0">
        <w:rPr>
          <w:rFonts w:cs="Times New Roman"/>
          <w:i/>
        </w:rPr>
        <w:t>Id</w:t>
      </w:r>
      <w:r w:rsidR="00977C2B" w:rsidRPr="001B72C0">
        <w:rPr>
          <w:rFonts w:cs="Times New Roman"/>
        </w:rPr>
        <w:t>.</w:t>
      </w:r>
    </w:p>
  </w:footnote>
  <w:footnote w:id="42">
    <w:p w14:paraId="61169A31" w14:textId="30ED4554" w:rsidR="003308AC" w:rsidRPr="001B72C0" w:rsidRDefault="003308AC">
      <w:pPr>
        <w:pStyle w:val="FootnoteText"/>
        <w:rPr>
          <w:rFonts w:cs="Times New Roman"/>
        </w:rPr>
      </w:pPr>
      <w:r w:rsidRPr="001B72C0">
        <w:rPr>
          <w:rStyle w:val="FootnoteReference"/>
          <w:rFonts w:cs="Times New Roman"/>
        </w:rPr>
        <w:footnoteRef/>
      </w:r>
      <w:r w:rsidRPr="001B72C0">
        <w:rPr>
          <w:rFonts w:cs="Times New Roman"/>
        </w:rPr>
        <w:t xml:space="preserve"> </w:t>
      </w:r>
      <w:r w:rsidR="00977C2B" w:rsidRPr="001B72C0">
        <w:rPr>
          <w:rFonts w:cs="Times New Roman"/>
          <w:i/>
        </w:rPr>
        <w:t>See</w:t>
      </w:r>
      <w:r w:rsidR="00977C2B" w:rsidRPr="001B72C0">
        <w:rPr>
          <w:rFonts w:cs="Times New Roman"/>
        </w:rPr>
        <w:t xml:space="preserve"> Petition of the North Austin Municipal Utility District No. 1, </w:t>
      </w:r>
      <w:proofErr w:type="spellStart"/>
      <w:r w:rsidR="00977C2B" w:rsidRPr="001B72C0">
        <w:rPr>
          <w:rFonts w:cs="Times New Roman"/>
        </w:rPr>
        <w:t>Northtown</w:t>
      </w:r>
      <w:proofErr w:type="spellEnd"/>
      <w:r w:rsidR="00977C2B" w:rsidRPr="001B72C0">
        <w:rPr>
          <w:rFonts w:cs="Times New Roman"/>
        </w:rPr>
        <w:t xml:space="preserve"> Municipal Utility District, Travis County Water Control and Improvement District No. 10, and Wells Branch Municipal Utility District from the Ratemaking Actions of the City of Austin and Request for Interim Rates in Williamson and Travis Counties, PUC Docket No. 42857</w:t>
      </w:r>
      <w:r w:rsidR="00F257C9" w:rsidRPr="001B72C0">
        <w:rPr>
          <w:rFonts w:cs="Times New Roman"/>
        </w:rPr>
        <w:t xml:space="preserve"> (filed Apr. 16, 2013).</w:t>
      </w:r>
    </w:p>
  </w:footnote>
  <w:footnote w:id="43">
    <w:p w14:paraId="7A94BE80" w14:textId="283345C7" w:rsidR="003308AC" w:rsidRPr="001B72C0" w:rsidRDefault="003308AC">
      <w:pPr>
        <w:pStyle w:val="FootnoteText"/>
        <w:rPr>
          <w:rFonts w:cs="Times New Roman"/>
        </w:rPr>
      </w:pPr>
      <w:r w:rsidRPr="001B72C0">
        <w:rPr>
          <w:rStyle w:val="FootnoteReference"/>
          <w:rFonts w:cs="Times New Roman"/>
        </w:rPr>
        <w:footnoteRef/>
      </w:r>
      <w:r w:rsidRPr="001B72C0">
        <w:rPr>
          <w:rFonts w:cs="Times New Roman"/>
        </w:rPr>
        <w:t xml:space="preserve"> </w:t>
      </w:r>
      <w:r w:rsidR="00F257C9" w:rsidRPr="001B72C0">
        <w:rPr>
          <w:rFonts w:cs="Times New Roman"/>
          <w:i/>
        </w:rPr>
        <w:t>See</w:t>
      </w:r>
      <w:r w:rsidR="00F257C9" w:rsidRPr="001B72C0">
        <w:rPr>
          <w:rFonts w:cs="Times New Roman"/>
        </w:rPr>
        <w:t xml:space="preserve"> Commission Order at 4, PUC Docket No. 42857, Item No. 325 (Oct. 14, 2015) (“The city’s own evidence establishes that the wholesale rates for water and wastewater customers of the city of Austin are not set by contract with any of the petitioners; rates are established annually through the city’s budget-setting process based on the current cost-of-service rate study culminating in an annual rate ordinance.”).</w:t>
      </w:r>
    </w:p>
  </w:footnote>
  <w:footnote w:id="44">
    <w:p w14:paraId="2FB5F725" w14:textId="6C62F116" w:rsidR="003308AC" w:rsidRPr="001B72C0" w:rsidRDefault="003308AC">
      <w:pPr>
        <w:pStyle w:val="FootnoteText"/>
        <w:rPr>
          <w:rFonts w:cs="Times New Roman"/>
        </w:rPr>
      </w:pPr>
      <w:r w:rsidRPr="001B72C0">
        <w:rPr>
          <w:rStyle w:val="FootnoteReference"/>
          <w:rFonts w:cs="Times New Roman"/>
        </w:rPr>
        <w:footnoteRef/>
      </w:r>
      <w:r w:rsidRPr="001B72C0">
        <w:rPr>
          <w:rFonts w:cs="Times New Roman"/>
        </w:rPr>
        <w:t xml:space="preserve"> </w:t>
      </w:r>
      <w:proofErr w:type="gramStart"/>
      <w:r w:rsidR="00F257C9" w:rsidRPr="001B72C0">
        <w:rPr>
          <w:rFonts w:cs="Times New Roman"/>
          <w:i/>
        </w:rPr>
        <w:t>Id</w:t>
      </w:r>
      <w:r w:rsidR="00F257C9" w:rsidRPr="001B72C0">
        <w:rPr>
          <w:rFonts w:cs="Times New Roman"/>
        </w:rPr>
        <w:t>. at 3.</w:t>
      </w:r>
      <w:proofErr w:type="gramEnd"/>
    </w:p>
  </w:footnote>
  <w:footnote w:id="45">
    <w:p w14:paraId="388536BC" w14:textId="5ED9CDAF" w:rsidR="003308AC" w:rsidRPr="001B72C0" w:rsidRDefault="003308AC">
      <w:pPr>
        <w:pStyle w:val="FootnoteText"/>
        <w:rPr>
          <w:rFonts w:cs="Times New Roman"/>
        </w:rPr>
      </w:pPr>
      <w:r w:rsidRPr="001B72C0">
        <w:rPr>
          <w:rStyle w:val="FootnoteReference"/>
          <w:rFonts w:cs="Times New Roman"/>
        </w:rPr>
        <w:footnoteRef/>
      </w:r>
      <w:r w:rsidRPr="001B72C0">
        <w:rPr>
          <w:rFonts w:cs="Times New Roman"/>
        </w:rPr>
        <w:t xml:space="preserve"> </w:t>
      </w:r>
      <w:proofErr w:type="gramStart"/>
      <w:r w:rsidR="00F257C9" w:rsidRPr="001B72C0">
        <w:rPr>
          <w:rFonts w:cs="Times New Roman"/>
          <w:i/>
        </w:rPr>
        <w:t>Id</w:t>
      </w:r>
      <w:r w:rsidR="00F257C9" w:rsidRPr="001B72C0">
        <w:rPr>
          <w:rFonts w:cs="Times New Roman"/>
        </w:rPr>
        <w:t>. at 4.</w:t>
      </w:r>
      <w:proofErr w:type="gramEnd"/>
    </w:p>
  </w:footnote>
  <w:footnote w:id="46">
    <w:p w14:paraId="48BF9379" w14:textId="1852BA5B" w:rsidR="003308AC" w:rsidRPr="001B72C0" w:rsidRDefault="003308AC">
      <w:pPr>
        <w:pStyle w:val="FootnoteText"/>
        <w:rPr>
          <w:rFonts w:cs="Times New Roman"/>
        </w:rPr>
      </w:pPr>
      <w:r w:rsidRPr="001B72C0">
        <w:rPr>
          <w:rStyle w:val="FootnoteReference"/>
          <w:rFonts w:cs="Times New Roman"/>
        </w:rPr>
        <w:footnoteRef/>
      </w:r>
      <w:r w:rsidRPr="001B72C0">
        <w:rPr>
          <w:rFonts w:cs="Times New Roman"/>
        </w:rPr>
        <w:t xml:space="preserve"> </w:t>
      </w:r>
      <w:r w:rsidR="009B4BBA">
        <w:rPr>
          <w:rFonts w:cs="Times New Roman"/>
        </w:rPr>
        <w:t xml:space="preserve">District’s </w:t>
      </w:r>
      <w:r w:rsidR="00A33898" w:rsidRPr="001B72C0">
        <w:rPr>
          <w:rFonts w:cs="Times New Roman"/>
        </w:rPr>
        <w:t>Re-Urged Motion at 9.</w:t>
      </w:r>
    </w:p>
  </w:footnote>
  <w:footnote w:id="47">
    <w:p w14:paraId="5F47DF72" w14:textId="285D40E9" w:rsidR="003308AC" w:rsidRPr="001B72C0" w:rsidRDefault="003308AC">
      <w:pPr>
        <w:pStyle w:val="FootnoteText"/>
        <w:rPr>
          <w:rFonts w:cs="Times New Roman"/>
        </w:rPr>
      </w:pPr>
      <w:r w:rsidRPr="001B72C0">
        <w:rPr>
          <w:rStyle w:val="FootnoteReference"/>
          <w:rFonts w:cs="Times New Roman"/>
        </w:rPr>
        <w:footnoteRef/>
      </w:r>
      <w:r w:rsidRPr="001B72C0">
        <w:rPr>
          <w:rFonts w:cs="Times New Roman"/>
        </w:rPr>
        <w:t xml:space="preserve"> </w:t>
      </w:r>
      <w:r w:rsidR="00A33898" w:rsidRPr="001B72C0">
        <w:rPr>
          <w:rFonts w:cs="Times New Roman"/>
          <w:i/>
        </w:rPr>
        <w:t>Id</w:t>
      </w:r>
      <w:r w:rsidR="00A33898" w:rsidRPr="001B72C0">
        <w:rPr>
          <w:rFonts w:cs="Times New Roman"/>
        </w:rPr>
        <w:t>. (emphasis added).</w:t>
      </w:r>
    </w:p>
  </w:footnote>
  <w:footnote w:id="48">
    <w:p w14:paraId="0BA275FD" w14:textId="3371D3F3" w:rsidR="003308AC" w:rsidRPr="001B72C0" w:rsidRDefault="003308AC">
      <w:pPr>
        <w:pStyle w:val="FootnoteText"/>
        <w:rPr>
          <w:rFonts w:cs="Times New Roman"/>
        </w:rPr>
      </w:pPr>
      <w:r w:rsidRPr="001B72C0">
        <w:rPr>
          <w:rStyle w:val="FootnoteReference"/>
          <w:rFonts w:cs="Times New Roman"/>
        </w:rPr>
        <w:footnoteRef/>
      </w:r>
      <w:r w:rsidRPr="001B72C0">
        <w:rPr>
          <w:rFonts w:cs="Times New Roman"/>
        </w:rPr>
        <w:t xml:space="preserve"> </w:t>
      </w:r>
      <w:r w:rsidR="00A33898" w:rsidRPr="001B72C0">
        <w:rPr>
          <w:rFonts w:cs="Times New Roman"/>
          <w:i/>
        </w:rPr>
        <w:t xml:space="preserve">See Leonard v. </w:t>
      </w:r>
      <w:proofErr w:type="spellStart"/>
      <w:r w:rsidR="00A33898" w:rsidRPr="001B72C0">
        <w:rPr>
          <w:rFonts w:cs="Times New Roman"/>
          <w:i/>
        </w:rPr>
        <w:t>Cornyn</w:t>
      </w:r>
      <w:proofErr w:type="spellEnd"/>
      <w:r w:rsidR="00A33898" w:rsidRPr="001B72C0">
        <w:rPr>
          <w:rFonts w:cs="Times New Roman"/>
        </w:rPr>
        <w:t xml:space="preserve">, </w:t>
      </w:r>
      <w:proofErr w:type="gramStart"/>
      <w:r w:rsidR="00A33898" w:rsidRPr="001B72C0">
        <w:rPr>
          <w:rFonts w:cs="Times New Roman"/>
        </w:rPr>
        <w:t xml:space="preserve">47 </w:t>
      </w:r>
      <w:proofErr w:type="spellStart"/>
      <w:r w:rsidR="00A33898" w:rsidRPr="001B72C0">
        <w:rPr>
          <w:rFonts w:cs="Times New Roman"/>
        </w:rPr>
        <w:t>S.W.3d</w:t>
      </w:r>
      <w:proofErr w:type="spellEnd"/>
      <w:r w:rsidR="00A33898" w:rsidRPr="001B72C0">
        <w:rPr>
          <w:rFonts w:cs="Times New Roman"/>
        </w:rPr>
        <w:t xml:space="preserve"> 524, 527</w:t>
      </w:r>
      <w:proofErr w:type="gramEnd"/>
      <w:r w:rsidR="00A33898" w:rsidRPr="001B72C0">
        <w:rPr>
          <w:rFonts w:cs="Times New Roman"/>
        </w:rPr>
        <w:t xml:space="preserve"> (</w:t>
      </w:r>
      <w:proofErr w:type="spellStart"/>
      <w:r w:rsidR="00A33898" w:rsidRPr="001B72C0">
        <w:rPr>
          <w:rFonts w:cs="Times New Roman"/>
        </w:rPr>
        <w:t>Tex.App</w:t>
      </w:r>
      <w:proofErr w:type="spellEnd"/>
      <w:r w:rsidR="00A33898" w:rsidRPr="001B72C0">
        <w:rPr>
          <w:rFonts w:cs="Times New Roman"/>
        </w:rPr>
        <w:t xml:space="preserve">.–Austin </w:t>
      </w:r>
      <w:r w:rsidR="008E7CB2">
        <w:rPr>
          <w:rFonts w:cs="Times New Roman"/>
        </w:rPr>
        <w:t>1999</w:t>
      </w:r>
      <w:r w:rsidR="00A33898" w:rsidRPr="001B72C0">
        <w:rPr>
          <w:rFonts w:cs="Times New Roman"/>
        </w:rPr>
        <w:t>).</w:t>
      </w:r>
    </w:p>
  </w:footnote>
  <w:footnote w:id="49">
    <w:p w14:paraId="51E4EBA4" w14:textId="13369B37" w:rsidR="003308AC" w:rsidRPr="001B72C0" w:rsidRDefault="003308AC" w:rsidP="00030573">
      <w:pPr>
        <w:pStyle w:val="FootnoteText"/>
        <w:rPr>
          <w:rFonts w:cs="Times New Roman"/>
        </w:rPr>
      </w:pPr>
      <w:r w:rsidRPr="001B72C0">
        <w:rPr>
          <w:rStyle w:val="FootnoteReference"/>
          <w:rFonts w:cs="Times New Roman"/>
        </w:rPr>
        <w:footnoteRef/>
      </w:r>
      <w:r w:rsidR="00F257C9" w:rsidRPr="001B72C0">
        <w:rPr>
          <w:rFonts w:cs="Times New Roman"/>
        </w:rPr>
        <w:t xml:space="preserve"> </w:t>
      </w:r>
      <w:proofErr w:type="gramStart"/>
      <w:r w:rsidR="00F257C9" w:rsidRPr="001B72C0">
        <w:rPr>
          <w:rFonts w:cs="Times New Roman"/>
        </w:rPr>
        <w:t xml:space="preserve">Tex. Water Code § </w:t>
      </w:r>
      <w:r w:rsidRPr="001B72C0">
        <w:rPr>
          <w:rFonts w:cs="Times New Roman"/>
        </w:rPr>
        <w:t>13.043(f)</w:t>
      </w:r>
      <w:r w:rsidR="00F257C9" w:rsidRPr="001B72C0">
        <w:rPr>
          <w:rFonts w:cs="Times New Roman"/>
        </w:rPr>
        <w:t>.</w:t>
      </w:r>
      <w:proofErr w:type="gramEnd"/>
    </w:p>
  </w:footnote>
  <w:footnote w:id="50">
    <w:p w14:paraId="259954DF" w14:textId="3C7802D1" w:rsidR="003308AC" w:rsidRPr="001B72C0" w:rsidRDefault="003308AC">
      <w:pPr>
        <w:pStyle w:val="FootnoteText"/>
        <w:rPr>
          <w:rFonts w:cs="Times New Roman"/>
        </w:rPr>
      </w:pPr>
      <w:r w:rsidRPr="001B72C0">
        <w:rPr>
          <w:rStyle w:val="FootnoteReference"/>
          <w:rFonts w:cs="Times New Roman"/>
        </w:rPr>
        <w:footnoteRef/>
      </w:r>
      <w:r w:rsidRPr="001B72C0">
        <w:rPr>
          <w:rFonts w:cs="Times New Roman"/>
        </w:rPr>
        <w:t xml:space="preserve"> </w:t>
      </w:r>
      <w:r w:rsidR="00F257C9" w:rsidRPr="001B72C0">
        <w:rPr>
          <w:rFonts w:cs="Times New Roman"/>
          <w:i/>
        </w:rPr>
        <w:t>See, e.g.</w:t>
      </w:r>
      <w:r w:rsidR="00F257C9" w:rsidRPr="001B72C0">
        <w:rPr>
          <w:rFonts w:cs="Times New Roman"/>
        </w:rPr>
        <w:t xml:space="preserve">, </w:t>
      </w:r>
      <w:r w:rsidR="009B4BBA">
        <w:rPr>
          <w:rFonts w:cs="Times New Roman"/>
        </w:rPr>
        <w:t xml:space="preserve">District’s </w:t>
      </w:r>
      <w:r w:rsidR="00F257C9" w:rsidRPr="001B72C0">
        <w:rPr>
          <w:rFonts w:cs="Times New Roman"/>
        </w:rPr>
        <w:t>Re-Urged Motion at 3 (“The Petitioners’ challenge is problematic for the 2018 bond issuance because their contest of the Contract, which expressly pledges as security for all of the District’s water system revenue bonds the rates collected by the District, constitutes a legal challenge that the District is obligated to disclose to potential investors as it prepares to issue the additional debt.”)</w:t>
      </w:r>
      <w:r w:rsidR="00A36288" w:rsidRPr="001B72C0">
        <w:rPr>
          <w:rFonts w:cs="Times New Roman"/>
        </w:rPr>
        <w:t xml:space="preserve">; </w:t>
      </w:r>
      <w:r w:rsidR="00A36288" w:rsidRPr="00474E6B">
        <w:rPr>
          <w:rFonts w:cs="Times New Roman"/>
          <w:i/>
        </w:rPr>
        <w:t>see also</w:t>
      </w:r>
      <w:r w:rsidR="00A36288" w:rsidRPr="001B72C0">
        <w:rPr>
          <w:rFonts w:cs="Times New Roman"/>
        </w:rPr>
        <w:t xml:space="preserve"> </w:t>
      </w:r>
      <w:r w:rsidR="009B4BBA" w:rsidRPr="00474E6B">
        <w:rPr>
          <w:rFonts w:cs="Times New Roman"/>
          <w:i/>
        </w:rPr>
        <w:t>id</w:t>
      </w:r>
      <w:r w:rsidR="009B4BBA">
        <w:rPr>
          <w:rFonts w:cs="Times New Roman"/>
        </w:rPr>
        <w:t>.</w:t>
      </w:r>
      <w:r w:rsidR="00A36288" w:rsidRPr="001B72C0">
        <w:rPr>
          <w:rFonts w:cs="Times New Roman"/>
        </w:rPr>
        <w:t xml:space="preserve"> at 4 (“A regulatory process resulting in the Contract being declared against the public interest, which will necessarily require portions of the Contract to essentially be rewritten—if not voiding the Contract altogether, places a cloud of uncertainty over this foundation that creates financial risk to the District and its Member Cities.”).</w:t>
      </w:r>
    </w:p>
  </w:footnote>
  <w:footnote w:id="51">
    <w:p w14:paraId="4FC4BD7D" w14:textId="55ADC958" w:rsidR="003308AC" w:rsidRPr="001B72C0" w:rsidRDefault="003308AC">
      <w:pPr>
        <w:pStyle w:val="FootnoteText"/>
        <w:rPr>
          <w:rFonts w:cs="Times New Roman"/>
        </w:rPr>
      </w:pPr>
      <w:r w:rsidRPr="001B72C0">
        <w:rPr>
          <w:rStyle w:val="FootnoteReference"/>
          <w:rFonts w:cs="Times New Roman"/>
        </w:rPr>
        <w:footnoteRef/>
      </w:r>
      <w:r w:rsidRPr="001B72C0">
        <w:rPr>
          <w:rFonts w:cs="Times New Roman"/>
        </w:rPr>
        <w:t xml:space="preserve"> </w:t>
      </w:r>
      <w:r w:rsidR="008E32E1" w:rsidRPr="001B72C0">
        <w:rPr>
          <w:rFonts w:cs="Times New Roman"/>
        </w:rPr>
        <w:t xml:space="preserve">The District asserts that because it “has the ability and responsibility to issue bonds to build and maintain its System, and because the Contract at issue in this matter pledges revenues generated by rates charged thereunder as security for repayment of such bonds, the rate-setting situation here is different from that of other wholesale water contracts over which the Commission clearly has jurisdiction.”  </w:t>
      </w:r>
      <w:r w:rsidR="00A36288" w:rsidRPr="001B72C0">
        <w:rPr>
          <w:rFonts w:cs="Times New Roman"/>
          <w:i/>
        </w:rPr>
        <w:t>See</w:t>
      </w:r>
      <w:r w:rsidR="00A36288" w:rsidRPr="001B72C0">
        <w:rPr>
          <w:rFonts w:cs="Times New Roman"/>
        </w:rPr>
        <w:t xml:space="preserve"> </w:t>
      </w:r>
      <w:r w:rsidR="009B4BBA">
        <w:rPr>
          <w:rFonts w:cs="Times New Roman"/>
        </w:rPr>
        <w:t xml:space="preserve">District’s </w:t>
      </w:r>
      <w:r w:rsidR="00A36288" w:rsidRPr="001B72C0">
        <w:rPr>
          <w:rFonts w:cs="Times New Roman"/>
        </w:rPr>
        <w:t>Re-Urged Motion at</w:t>
      </w:r>
      <w:r w:rsidR="008E32E1" w:rsidRPr="001B72C0">
        <w:rPr>
          <w:rFonts w:cs="Times New Roman"/>
        </w:rPr>
        <w:t xml:space="preserve"> 3.  Notably missing is citation to any authority, which is unsurprising because Section 13.043(f) of the Texas Water Code does not remove bond issuing water districts from the Commission’s jurisdiction.</w:t>
      </w:r>
    </w:p>
  </w:footnote>
  <w:footnote w:id="52">
    <w:p w14:paraId="7C4299B4" w14:textId="13826B6B" w:rsidR="003308AC" w:rsidRPr="001B72C0" w:rsidRDefault="003308AC">
      <w:pPr>
        <w:pStyle w:val="FootnoteText"/>
        <w:rPr>
          <w:rFonts w:cs="Times New Roman"/>
        </w:rPr>
      </w:pPr>
      <w:r w:rsidRPr="001B72C0">
        <w:rPr>
          <w:rStyle w:val="FootnoteReference"/>
          <w:rFonts w:cs="Times New Roman"/>
        </w:rPr>
        <w:footnoteRef/>
      </w:r>
      <w:r w:rsidRPr="001B72C0">
        <w:rPr>
          <w:rFonts w:cs="Times New Roman"/>
        </w:rPr>
        <w:t xml:space="preserve"> </w:t>
      </w:r>
      <w:r w:rsidR="00A36288" w:rsidRPr="001B72C0">
        <w:rPr>
          <w:rFonts w:cs="Times New Roman"/>
        </w:rPr>
        <w:t xml:space="preserve">16 </w:t>
      </w:r>
      <w:proofErr w:type="spellStart"/>
      <w:r w:rsidR="00A36288" w:rsidRPr="001B72C0">
        <w:rPr>
          <w:rFonts w:cs="Times New Roman"/>
        </w:rPr>
        <w:t>TAC</w:t>
      </w:r>
      <w:proofErr w:type="spellEnd"/>
      <w:r w:rsidR="00A36288" w:rsidRPr="001B72C0">
        <w:rPr>
          <w:rFonts w:cs="Times New Roman"/>
        </w:rPr>
        <w:t xml:space="preserve"> § </w:t>
      </w:r>
      <w:r w:rsidRPr="001B72C0">
        <w:rPr>
          <w:rFonts w:cs="Times New Roman"/>
        </w:rPr>
        <w:t>24.134(e)</w:t>
      </w:r>
      <w:r w:rsidR="00A36288" w:rsidRPr="001B72C0">
        <w:rPr>
          <w:rFonts w:cs="Times New Roman"/>
        </w:rPr>
        <w:t xml:space="preserve"> (“The </w:t>
      </w:r>
      <w:r w:rsidR="00E52A63">
        <w:rPr>
          <w:rFonts w:cs="Times New Roman"/>
        </w:rPr>
        <w:t>C</w:t>
      </w:r>
      <w:r w:rsidR="00A36288" w:rsidRPr="001B72C0">
        <w:rPr>
          <w:rFonts w:cs="Times New Roman"/>
        </w:rPr>
        <w:t>om</w:t>
      </w:r>
      <w:r w:rsidR="00E61DA7">
        <w:rPr>
          <w:rFonts w:cs="Times New Roman"/>
        </w:rPr>
        <w:t>m</w:t>
      </w:r>
      <w:r w:rsidR="00A36288" w:rsidRPr="001B72C0">
        <w:rPr>
          <w:rFonts w:cs="Times New Roman"/>
        </w:rPr>
        <w:t xml:space="preserve">ission shall set a rate consistent with the ratemaking mandates of </w:t>
      </w:r>
      <w:proofErr w:type="spellStart"/>
      <w:r w:rsidR="00A36288" w:rsidRPr="001B72C0">
        <w:rPr>
          <w:rFonts w:cs="Times New Roman"/>
        </w:rPr>
        <w:t>TWC</w:t>
      </w:r>
      <w:proofErr w:type="spellEnd"/>
      <w:r w:rsidR="00A36288" w:rsidRPr="001B72C0">
        <w:rPr>
          <w:rFonts w:cs="Times New Roman"/>
        </w:rPr>
        <w:t>, Chapters 12 and 13.”).</w:t>
      </w:r>
    </w:p>
  </w:footnote>
  <w:footnote w:id="53">
    <w:p w14:paraId="29EEE9F5" w14:textId="55B9CA81" w:rsidR="003308AC" w:rsidRPr="001B72C0" w:rsidRDefault="003308AC">
      <w:pPr>
        <w:pStyle w:val="FootnoteText"/>
        <w:rPr>
          <w:rFonts w:cs="Times New Roman"/>
        </w:rPr>
      </w:pPr>
      <w:r w:rsidRPr="001B72C0">
        <w:rPr>
          <w:rStyle w:val="FootnoteReference"/>
          <w:rFonts w:cs="Times New Roman"/>
        </w:rPr>
        <w:footnoteRef/>
      </w:r>
      <w:r w:rsidRPr="001B72C0">
        <w:rPr>
          <w:rFonts w:cs="Times New Roman"/>
        </w:rPr>
        <w:t xml:space="preserve"> </w:t>
      </w:r>
      <w:proofErr w:type="gramStart"/>
      <w:r w:rsidR="00A36288" w:rsidRPr="001B72C0">
        <w:rPr>
          <w:rFonts w:cs="Times New Roman"/>
        </w:rPr>
        <w:t xml:space="preserve">Tex. Water Code § </w:t>
      </w:r>
      <w:r w:rsidRPr="001B72C0">
        <w:rPr>
          <w:rFonts w:cs="Times New Roman"/>
        </w:rPr>
        <w:t>12.013(c)</w:t>
      </w:r>
      <w:r w:rsidR="00A36288" w:rsidRPr="001B72C0">
        <w:rPr>
          <w:rFonts w:cs="Times New Roman"/>
        </w:rPr>
        <w:t>.</w:t>
      </w:r>
      <w:proofErr w:type="gramEnd"/>
    </w:p>
  </w:footnote>
  <w:footnote w:id="54">
    <w:p w14:paraId="62844B34" w14:textId="77777777" w:rsidR="003308AC" w:rsidRPr="001B72C0" w:rsidRDefault="003308AC" w:rsidP="00A57A81">
      <w:pPr>
        <w:pStyle w:val="FootnoteText"/>
        <w:rPr>
          <w:rFonts w:cs="Times New Roman"/>
        </w:rPr>
      </w:pPr>
      <w:r w:rsidRPr="001B72C0">
        <w:rPr>
          <w:rStyle w:val="FootnoteReference"/>
          <w:rFonts w:cs="Times New Roman"/>
        </w:rPr>
        <w:footnoteRef/>
      </w:r>
      <w:r w:rsidRPr="001B72C0">
        <w:rPr>
          <w:rFonts w:cs="Times New Roman"/>
        </w:rPr>
        <w:t xml:space="preserve"> </w:t>
      </w:r>
      <w:r w:rsidRPr="001B72C0">
        <w:rPr>
          <w:rFonts w:cs="Times New Roman"/>
          <w:i/>
        </w:rPr>
        <w:t>See In re Newton</w:t>
      </w:r>
      <w:r w:rsidRPr="001B72C0">
        <w:rPr>
          <w:rFonts w:cs="Times New Roman"/>
        </w:rPr>
        <w:t xml:space="preserve">, 146 </w:t>
      </w:r>
      <w:proofErr w:type="spellStart"/>
      <w:r w:rsidRPr="001B72C0">
        <w:rPr>
          <w:rFonts w:cs="Times New Roman"/>
        </w:rPr>
        <w:t>S.W.3d</w:t>
      </w:r>
      <w:proofErr w:type="spellEnd"/>
      <w:r w:rsidRPr="001B72C0">
        <w:rPr>
          <w:rFonts w:cs="Times New Roman"/>
        </w:rPr>
        <w:t xml:space="preserve"> 648, 651 (Tex. 2004) (“The purpose of a TRO is to preserve the status quo.”); </w:t>
      </w:r>
      <w:r w:rsidRPr="001B72C0">
        <w:rPr>
          <w:rFonts w:cs="Times New Roman"/>
          <w:i/>
        </w:rPr>
        <w:t>see</w:t>
      </w:r>
      <w:r w:rsidRPr="001B72C0">
        <w:rPr>
          <w:rFonts w:cs="Times New Roman"/>
        </w:rPr>
        <w:t xml:space="preserve"> </w:t>
      </w:r>
      <w:proofErr w:type="spellStart"/>
      <w:r w:rsidRPr="001B72C0">
        <w:rPr>
          <w:rFonts w:cs="Times New Roman"/>
          <w:i/>
        </w:rPr>
        <w:t>Cannan</w:t>
      </w:r>
      <w:proofErr w:type="spellEnd"/>
      <w:r w:rsidRPr="001B72C0">
        <w:rPr>
          <w:rFonts w:cs="Times New Roman"/>
          <w:i/>
        </w:rPr>
        <w:t xml:space="preserve"> v. Green Oaks Apts.</w:t>
      </w:r>
      <w:r w:rsidRPr="001B72C0">
        <w:rPr>
          <w:rFonts w:cs="Times New Roman"/>
        </w:rPr>
        <w:t xml:space="preserve">, 758 </w:t>
      </w:r>
      <w:proofErr w:type="spellStart"/>
      <w:r w:rsidRPr="001B72C0">
        <w:rPr>
          <w:rFonts w:cs="Times New Roman"/>
        </w:rPr>
        <w:t>S.W.2d</w:t>
      </w:r>
      <w:proofErr w:type="spellEnd"/>
      <w:r w:rsidRPr="001B72C0">
        <w:rPr>
          <w:rFonts w:cs="Times New Roman"/>
        </w:rPr>
        <w:t xml:space="preserve"> 753, 755 (Tex. 1988) (“The issuance of a temporary restraining order, like the issuance of a temporary injunction, is to maintain the status quo between the parties.”).</w:t>
      </w:r>
    </w:p>
  </w:footnote>
  <w:footnote w:id="55">
    <w:p w14:paraId="0845E54F" w14:textId="1B9BD95E" w:rsidR="003308AC" w:rsidRPr="001B72C0" w:rsidRDefault="003308AC" w:rsidP="00A57A81">
      <w:pPr>
        <w:pStyle w:val="FootnoteText"/>
        <w:rPr>
          <w:rFonts w:cs="Times New Roman"/>
        </w:rPr>
      </w:pPr>
      <w:r w:rsidRPr="001B72C0">
        <w:rPr>
          <w:rStyle w:val="FootnoteReference"/>
          <w:rFonts w:cs="Times New Roman"/>
        </w:rPr>
        <w:footnoteRef/>
      </w:r>
      <w:r w:rsidRPr="001B72C0">
        <w:rPr>
          <w:rFonts w:cs="Times New Roman"/>
        </w:rPr>
        <w:t xml:space="preserve"> The Commission’s rules refer to the “commission” ruling on the petition’s sufficiency and referring to </w:t>
      </w:r>
      <w:proofErr w:type="spellStart"/>
      <w:r w:rsidRPr="001B72C0">
        <w:rPr>
          <w:rFonts w:cs="Times New Roman"/>
        </w:rPr>
        <w:t>SOAH</w:t>
      </w:r>
      <w:proofErr w:type="spellEnd"/>
      <w:r w:rsidRPr="001B72C0">
        <w:rPr>
          <w:rFonts w:cs="Times New Roman"/>
        </w:rPr>
        <w:t xml:space="preserve">, </w:t>
      </w:r>
      <w:r w:rsidRPr="001B72C0">
        <w:rPr>
          <w:rFonts w:cs="Times New Roman"/>
          <w:i/>
        </w:rPr>
        <w:t>see</w:t>
      </w:r>
      <w:r w:rsidRPr="001B72C0">
        <w:rPr>
          <w:rFonts w:cs="Times New Roman"/>
        </w:rPr>
        <w:t xml:space="preserve"> 16 </w:t>
      </w:r>
      <w:proofErr w:type="spellStart"/>
      <w:r w:rsidR="00A36288" w:rsidRPr="001B72C0">
        <w:rPr>
          <w:rFonts w:cs="Times New Roman"/>
        </w:rPr>
        <w:t>TAC</w:t>
      </w:r>
      <w:proofErr w:type="spellEnd"/>
      <w:r w:rsidRPr="001B72C0">
        <w:rPr>
          <w:rFonts w:cs="Times New Roman"/>
        </w:rPr>
        <w:t xml:space="preserve"> §24.131(a), and define “commission” as “The Public Utility Commission of Texas or a presiding officer, as applicable.”  </w:t>
      </w:r>
      <w:r w:rsidRPr="001B72C0">
        <w:rPr>
          <w:rFonts w:cs="Times New Roman"/>
          <w:i/>
        </w:rPr>
        <w:t>See</w:t>
      </w:r>
      <w:r w:rsidRPr="001B72C0">
        <w:rPr>
          <w:rFonts w:cs="Times New Roman"/>
        </w:rPr>
        <w:t xml:space="preserve"> 16 </w:t>
      </w:r>
      <w:proofErr w:type="spellStart"/>
      <w:r w:rsidRPr="001B72C0">
        <w:rPr>
          <w:rFonts w:cs="Times New Roman"/>
        </w:rPr>
        <w:t>TAC</w:t>
      </w:r>
      <w:proofErr w:type="spellEnd"/>
      <w:r w:rsidRPr="001B72C0">
        <w:rPr>
          <w:rFonts w:cs="Times New Roman"/>
        </w:rPr>
        <w:t xml:space="preserve"> §24.3(18).</w:t>
      </w:r>
    </w:p>
  </w:footnote>
  <w:footnote w:id="56">
    <w:p w14:paraId="7C7AABE3" w14:textId="77777777" w:rsidR="003308AC" w:rsidRPr="001B72C0" w:rsidRDefault="003308AC" w:rsidP="00A57A81">
      <w:pPr>
        <w:pStyle w:val="FootnoteText"/>
        <w:rPr>
          <w:rFonts w:cs="Times New Roman"/>
        </w:rPr>
      </w:pPr>
      <w:r w:rsidRPr="001B72C0">
        <w:rPr>
          <w:rStyle w:val="FootnoteReference"/>
          <w:rFonts w:cs="Times New Roman"/>
        </w:rPr>
        <w:footnoteRef/>
      </w:r>
      <w:r w:rsidRPr="001B72C0">
        <w:rPr>
          <w:rFonts w:cs="Times New Roman"/>
        </w:rPr>
        <w:t xml:space="preserve"> </w:t>
      </w:r>
      <w:proofErr w:type="gramStart"/>
      <w:r w:rsidRPr="001B72C0">
        <w:rPr>
          <w:rFonts w:cs="Times New Roman"/>
        </w:rPr>
        <w:t xml:space="preserve">16 </w:t>
      </w:r>
      <w:proofErr w:type="spellStart"/>
      <w:r w:rsidRPr="001B72C0">
        <w:rPr>
          <w:rFonts w:cs="Times New Roman"/>
        </w:rPr>
        <w:t>TAC</w:t>
      </w:r>
      <w:proofErr w:type="spellEnd"/>
      <w:r w:rsidRPr="001B72C0">
        <w:rPr>
          <w:rFonts w:cs="Times New Roman"/>
        </w:rPr>
        <w:t xml:space="preserve"> §24.131(a)-(b).</w:t>
      </w:r>
      <w:proofErr w:type="gramEnd"/>
    </w:p>
  </w:footnote>
  <w:footnote w:id="57">
    <w:p w14:paraId="36E8BF9B" w14:textId="4B9D52B1" w:rsidR="00A36288" w:rsidRPr="001B72C0" w:rsidRDefault="00A36288">
      <w:pPr>
        <w:pStyle w:val="FootnoteText"/>
        <w:rPr>
          <w:rFonts w:cs="Times New Roman"/>
        </w:rPr>
      </w:pPr>
      <w:r w:rsidRPr="001B72C0">
        <w:rPr>
          <w:rStyle w:val="FootnoteReference"/>
          <w:rFonts w:cs="Times New Roman"/>
        </w:rPr>
        <w:footnoteRef/>
      </w:r>
      <w:r w:rsidRPr="001B72C0">
        <w:rPr>
          <w:rFonts w:cs="Times New Roman"/>
        </w:rPr>
        <w:t xml:space="preserve"> </w:t>
      </w:r>
      <w:r w:rsidRPr="001B72C0">
        <w:rPr>
          <w:rFonts w:cs="Times New Roman"/>
          <w:i/>
        </w:rPr>
        <w:t>See</w:t>
      </w:r>
      <w:r w:rsidRPr="001B72C0">
        <w:rPr>
          <w:rFonts w:cs="Times New Roman"/>
        </w:rPr>
        <w:t xml:space="preserve"> </w:t>
      </w:r>
      <w:r w:rsidR="009B4BBA">
        <w:rPr>
          <w:rFonts w:cs="Times New Roman"/>
        </w:rPr>
        <w:t xml:space="preserve">District’s </w:t>
      </w:r>
      <w:r w:rsidRPr="001B72C0">
        <w:rPr>
          <w:rFonts w:cs="Times New Roman"/>
        </w:rPr>
        <w:t>Re-Urged Motion at 11.</w:t>
      </w:r>
    </w:p>
  </w:footnote>
  <w:footnote w:id="58">
    <w:p w14:paraId="435ADFE0" w14:textId="1BA90B0F" w:rsidR="003308AC" w:rsidRPr="001B72C0" w:rsidRDefault="003308AC">
      <w:pPr>
        <w:pStyle w:val="FootnoteText"/>
        <w:rPr>
          <w:rFonts w:cs="Times New Roman"/>
        </w:rPr>
      </w:pPr>
      <w:r w:rsidRPr="001B72C0">
        <w:rPr>
          <w:rStyle w:val="FootnoteReference"/>
          <w:rFonts w:cs="Times New Roman"/>
        </w:rPr>
        <w:footnoteRef/>
      </w:r>
      <w:r w:rsidRPr="001B72C0">
        <w:rPr>
          <w:rFonts w:cs="Times New Roman"/>
        </w:rPr>
        <w:t xml:space="preserve"> </w:t>
      </w:r>
      <w:r w:rsidR="00A36288" w:rsidRPr="001B72C0">
        <w:rPr>
          <w:rFonts w:cs="Times New Roman"/>
        </w:rPr>
        <w:t>Tex. Water Code § 13.043(f) (“An appeal under this subsection must be initiated within 90 days after the date of notice of the decision is received from the provider of water or sewer service.”).</w:t>
      </w:r>
    </w:p>
  </w:footnote>
  <w:footnote w:id="59">
    <w:p w14:paraId="156CE214" w14:textId="3A2ECB8A" w:rsidR="00A36288" w:rsidRPr="001B72C0" w:rsidRDefault="00A36288">
      <w:pPr>
        <w:pStyle w:val="FootnoteText"/>
        <w:rPr>
          <w:rFonts w:cs="Times New Roman"/>
        </w:rPr>
      </w:pPr>
      <w:r w:rsidRPr="001B72C0">
        <w:rPr>
          <w:rStyle w:val="FootnoteReference"/>
          <w:rFonts w:cs="Times New Roman"/>
        </w:rPr>
        <w:footnoteRef/>
      </w:r>
      <w:r w:rsidRPr="001B72C0">
        <w:rPr>
          <w:rFonts w:cs="Times New Roman"/>
        </w:rPr>
        <w:t xml:space="preserve"> </w:t>
      </w:r>
      <w:r w:rsidRPr="001B72C0">
        <w:rPr>
          <w:rFonts w:cs="Times New Roman"/>
          <w:i/>
        </w:rPr>
        <w:t>See</w:t>
      </w:r>
      <w:r w:rsidRPr="001B72C0">
        <w:rPr>
          <w:rFonts w:cs="Times New Roman"/>
        </w:rPr>
        <w:t xml:space="preserve"> </w:t>
      </w:r>
      <w:r w:rsidR="009B4BBA">
        <w:rPr>
          <w:rFonts w:cs="Times New Roman"/>
        </w:rPr>
        <w:t xml:space="preserve">District’s </w:t>
      </w:r>
      <w:r w:rsidRPr="001B72C0">
        <w:rPr>
          <w:rFonts w:cs="Times New Roman"/>
        </w:rPr>
        <w:t>Re-Urged Motion at 11.</w:t>
      </w:r>
    </w:p>
  </w:footnote>
  <w:footnote w:id="60">
    <w:p w14:paraId="52375EF7" w14:textId="5F1177A9" w:rsidR="007B0B50" w:rsidRPr="001B72C0" w:rsidRDefault="007B0B50" w:rsidP="007B0B50">
      <w:pPr>
        <w:pStyle w:val="FootnoteText"/>
        <w:rPr>
          <w:rFonts w:cs="Times New Roman"/>
        </w:rPr>
      </w:pPr>
      <w:r w:rsidRPr="001B72C0">
        <w:rPr>
          <w:rStyle w:val="FootnoteReference"/>
          <w:rFonts w:cs="Times New Roman"/>
        </w:rPr>
        <w:footnoteRef/>
      </w:r>
      <w:r w:rsidRPr="001B72C0">
        <w:rPr>
          <w:rFonts w:cs="Times New Roman"/>
        </w:rPr>
        <w:t xml:space="preserve"> </w:t>
      </w:r>
      <w:r w:rsidRPr="001B72C0">
        <w:rPr>
          <w:rFonts w:cs="Times New Roman"/>
          <w:i/>
        </w:rPr>
        <w:t>See</w:t>
      </w:r>
      <w:r w:rsidRPr="001B72C0">
        <w:rPr>
          <w:rFonts w:cs="Times New Roman"/>
        </w:rPr>
        <w:t xml:space="preserve"> Original Answer and Plea in Abatement of Defendant Public Utility Commission of Texas, </w:t>
      </w:r>
      <w:r w:rsidRPr="001B72C0">
        <w:rPr>
          <w:rFonts w:cs="Times New Roman"/>
          <w:i/>
        </w:rPr>
        <w:t xml:space="preserve">N. Tex. </w:t>
      </w:r>
      <w:proofErr w:type="spellStart"/>
      <w:r w:rsidRPr="001B72C0">
        <w:rPr>
          <w:rFonts w:cs="Times New Roman"/>
          <w:i/>
        </w:rPr>
        <w:t>Mun</w:t>
      </w:r>
      <w:proofErr w:type="spellEnd"/>
      <w:r w:rsidRPr="001B72C0">
        <w:rPr>
          <w:rFonts w:cs="Times New Roman"/>
          <w:i/>
        </w:rPr>
        <w:t xml:space="preserve">. </w:t>
      </w:r>
      <w:proofErr w:type="gramStart"/>
      <w:r w:rsidRPr="001B72C0">
        <w:rPr>
          <w:rFonts w:cs="Times New Roman"/>
          <w:i/>
        </w:rPr>
        <w:t>Water Dist. v. Pub.</w:t>
      </w:r>
      <w:proofErr w:type="gramEnd"/>
      <w:r w:rsidRPr="001B72C0">
        <w:rPr>
          <w:rFonts w:cs="Times New Roman"/>
          <w:i/>
        </w:rPr>
        <w:t xml:space="preserve"> </w:t>
      </w:r>
      <w:proofErr w:type="gramStart"/>
      <w:r w:rsidRPr="001B72C0">
        <w:rPr>
          <w:rFonts w:cs="Times New Roman"/>
          <w:i/>
        </w:rPr>
        <w:t xml:space="preserve">Util. </w:t>
      </w:r>
      <w:proofErr w:type="spellStart"/>
      <w:r w:rsidRPr="001B72C0">
        <w:rPr>
          <w:rFonts w:cs="Times New Roman"/>
          <w:i/>
        </w:rPr>
        <w:t>Comm'n</w:t>
      </w:r>
      <w:proofErr w:type="spellEnd"/>
      <w:r w:rsidRPr="001B72C0">
        <w:rPr>
          <w:rFonts w:cs="Times New Roman"/>
          <w:i/>
        </w:rPr>
        <w:t xml:space="preserve"> of Tex.</w:t>
      </w:r>
      <w:r w:rsidRPr="001B72C0">
        <w:rPr>
          <w:rFonts w:cs="Times New Roman"/>
        </w:rPr>
        <w:t>, No.</w:t>
      </w:r>
      <w:proofErr w:type="gramEnd"/>
      <w:r w:rsidRPr="001B72C0">
        <w:rPr>
          <w:rFonts w:cs="Times New Roman"/>
        </w:rPr>
        <w:t xml:space="preserve"> D-1-</w:t>
      </w:r>
      <w:proofErr w:type="spellStart"/>
      <w:r w:rsidRPr="001B72C0">
        <w:rPr>
          <w:rFonts w:cs="Times New Roman"/>
        </w:rPr>
        <w:t>GN</w:t>
      </w:r>
      <w:proofErr w:type="spellEnd"/>
      <w:r w:rsidRPr="001B72C0">
        <w:rPr>
          <w:rFonts w:cs="Times New Roman"/>
        </w:rPr>
        <w:t xml:space="preserve">-17-000877 (Travis </w:t>
      </w:r>
      <w:proofErr w:type="spellStart"/>
      <w:r w:rsidRPr="001B72C0">
        <w:rPr>
          <w:rFonts w:cs="Times New Roman"/>
        </w:rPr>
        <w:t>Cty</w:t>
      </w:r>
      <w:proofErr w:type="spellEnd"/>
      <w:r w:rsidRPr="001B72C0">
        <w:rPr>
          <w:rFonts w:cs="Times New Roman"/>
        </w:rPr>
        <w:t xml:space="preserve">. </w:t>
      </w:r>
      <w:proofErr w:type="gramStart"/>
      <w:r w:rsidRPr="001B72C0">
        <w:rPr>
          <w:rFonts w:cs="Times New Roman"/>
        </w:rPr>
        <w:t>Dist.</w:t>
      </w:r>
      <w:r w:rsidR="00E61DA7">
        <w:rPr>
          <w:rFonts w:cs="Times New Roman"/>
        </w:rPr>
        <w:t xml:space="preserve"> Ct. Mar. 24</w:t>
      </w:r>
      <w:r w:rsidR="00B6473D">
        <w:rPr>
          <w:rFonts w:cs="Times New Roman"/>
        </w:rPr>
        <w:t xml:space="preserve">, 2017) (Attachment </w:t>
      </w:r>
      <w:r w:rsidR="004A23D4">
        <w:rPr>
          <w:rFonts w:cs="Times New Roman"/>
        </w:rPr>
        <w:t>3</w:t>
      </w:r>
      <w:r w:rsidRPr="001B72C0">
        <w:rPr>
          <w:rFonts w:cs="Times New Roman"/>
        </w:rPr>
        <w:t>) (“The Court should abate this case under primary jurisdiction principles in order to allow the Commission the opportunity to determine the applicability of its own rules.”).</w:t>
      </w:r>
      <w:proofErr w:type="gramEnd"/>
    </w:p>
  </w:footnote>
  <w:footnote w:id="61">
    <w:p w14:paraId="53E8C0B3" w14:textId="77921C2E" w:rsidR="003308AC" w:rsidRPr="001B72C0" w:rsidRDefault="003308AC">
      <w:pPr>
        <w:pStyle w:val="FootnoteText"/>
        <w:rPr>
          <w:rFonts w:cs="Times New Roman"/>
        </w:rPr>
      </w:pPr>
      <w:r w:rsidRPr="001B72C0">
        <w:rPr>
          <w:rStyle w:val="FootnoteReference"/>
          <w:rFonts w:cs="Times New Roman"/>
        </w:rPr>
        <w:footnoteRef/>
      </w:r>
      <w:r w:rsidRPr="001B72C0">
        <w:rPr>
          <w:rFonts w:cs="Times New Roman"/>
        </w:rPr>
        <w:t xml:space="preserve"> </w:t>
      </w:r>
      <w:r w:rsidR="007B0B50" w:rsidRPr="001B72C0">
        <w:rPr>
          <w:rFonts w:cs="Times New Roman"/>
          <w:i/>
        </w:rPr>
        <w:t>See</w:t>
      </w:r>
      <w:r w:rsidR="007B0B50" w:rsidRPr="001B72C0">
        <w:rPr>
          <w:rFonts w:cs="Times New Roman"/>
        </w:rPr>
        <w:t xml:space="preserve"> Order Abating Plaintiff’s Claim, </w:t>
      </w:r>
      <w:r w:rsidR="007B0B50" w:rsidRPr="001B72C0">
        <w:rPr>
          <w:rFonts w:cs="Times New Roman"/>
          <w:i/>
        </w:rPr>
        <w:t xml:space="preserve">City of Austin v. Pub. </w:t>
      </w:r>
      <w:proofErr w:type="gramStart"/>
      <w:r w:rsidR="007B0B50" w:rsidRPr="001B72C0">
        <w:rPr>
          <w:rFonts w:cs="Times New Roman"/>
          <w:i/>
        </w:rPr>
        <w:t xml:space="preserve">Util. </w:t>
      </w:r>
      <w:proofErr w:type="spellStart"/>
      <w:r w:rsidR="007B0B50" w:rsidRPr="001B72C0">
        <w:rPr>
          <w:rFonts w:cs="Times New Roman"/>
          <w:i/>
        </w:rPr>
        <w:t>Comm’n</w:t>
      </w:r>
      <w:proofErr w:type="spellEnd"/>
      <w:r w:rsidR="007B0B50" w:rsidRPr="001B72C0">
        <w:rPr>
          <w:rFonts w:cs="Times New Roman"/>
          <w:i/>
        </w:rPr>
        <w:t xml:space="preserve"> of Tex.</w:t>
      </w:r>
      <w:r w:rsidR="007B0B50" w:rsidRPr="001B72C0">
        <w:rPr>
          <w:rFonts w:cs="Times New Roman"/>
        </w:rPr>
        <w:t>, No.</w:t>
      </w:r>
      <w:proofErr w:type="gramEnd"/>
      <w:r w:rsidR="007B0B50" w:rsidRPr="001B72C0">
        <w:rPr>
          <w:rFonts w:cs="Times New Roman"/>
        </w:rPr>
        <w:t xml:space="preserve"> D-1-</w:t>
      </w:r>
      <w:proofErr w:type="spellStart"/>
      <w:r w:rsidR="007B0B50" w:rsidRPr="001B72C0">
        <w:rPr>
          <w:rFonts w:cs="Times New Roman"/>
        </w:rPr>
        <w:t>GN</w:t>
      </w:r>
      <w:proofErr w:type="spellEnd"/>
      <w:r w:rsidR="007B0B50" w:rsidRPr="001B72C0">
        <w:rPr>
          <w:rFonts w:cs="Times New Roman"/>
        </w:rPr>
        <w:t xml:space="preserve">-15-000513 (Travis </w:t>
      </w:r>
      <w:proofErr w:type="spellStart"/>
      <w:r w:rsidR="007B0B50" w:rsidRPr="001B72C0">
        <w:rPr>
          <w:rFonts w:cs="Times New Roman"/>
        </w:rPr>
        <w:t>Cty</w:t>
      </w:r>
      <w:proofErr w:type="spellEnd"/>
      <w:r w:rsidR="007B0B50" w:rsidRPr="001B72C0">
        <w:rPr>
          <w:rFonts w:cs="Times New Roman"/>
        </w:rPr>
        <w:t>. Dist.</w:t>
      </w:r>
      <w:r w:rsidR="00B6473D">
        <w:rPr>
          <w:rFonts w:cs="Times New Roman"/>
        </w:rPr>
        <w:t xml:space="preserve"> Ct. Sep. 9, 2015) (Attachment </w:t>
      </w:r>
      <w:r w:rsidR="004A23D4">
        <w:rPr>
          <w:rFonts w:cs="Times New Roman"/>
        </w:rPr>
        <w:t>4</w:t>
      </w:r>
      <w:r w:rsidR="007B0B50" w:rsidRPr="001B72C0">
        <w:rPr>
          <w:rFonts w:cs="Times New Roman"/>
        </w:rPr>
        <w:t>) (“After reviewing the pleadings and hearing the arguments of counsel, the Court concludes that the Court should defer to the primary jurisdiction of the PUC ….”).</w:t>
      </w:r>
    </w:p>
  </w:footnote>
  <w:footnote w:id="62">
    <w:p w14:paraId="3AD4E312" w14:textId="4A85E208" w:rsidR="003308AC" w:rsidRPr="001B72C0" w:rsidRDefault="003308AC">
      <w:pPr>
        <w:pStyle w:val="FootnoteText"/>
        <w:rPr>
          <w:rFonts w:cs="Times New Roman"/>
        </w:rPr>
      </w:pPr>
      <w:r w:rsidRPr="001B72C0">
        <w:rPr>
          <w:rStyle w:val="FootnoteReference"/>
          <w:rFonts w:cs="Times New Roman"/>
        </w:rPr>
        <w:footnoteRef/>
      </w:r>
      <w:r w:rsidRPr="001B72C0">
        <w:rPr>
          <w:rFonts w:cs="Times New Roman"/>
        </w:rPr>
        <w:t xml:space="preserve"> </w:t>
      </w:r>
      <w:r w:rsidR="007B0B50" w:rsidRPr="001B72C0">
        <w:rPr>
          <w:rFonts w:cs="Times New Roman"/>
          <w:i/>
        </w:rPr>
        <w:t>See</w:t>
      </w:r>
      <w:r w:rsidR="007B0B50" w:rsidRPr="001B72C0">
        <w:rPr>
          <w:rFonts w:cs="Times New Roman"/>
        </w:rPr>
        <w:t xml:space="preserve"> Order No. 3</w:t>
      </w:r>
      <w:r w:rsidR="00BE4226">
        <w:rPr>
          <w:rFonts w:cs="Times New Roman"/>
        </w:rPr>
        <w:t xml:space="preserve"> at 1</w:t>
      </w:r>
      <w:r w:rsidR="007B0B50" w:rsidRPr="001B72C0">
        <w:rPr>
          <w:rFonts w:cs="Times New Roman"/>
        </w:rPr>
        <w:t xml:space="preserve">, PUC Docket No. </w:t>
      </w:r>
      <w:r w:rsidRPr="001B72C0">
        <w:rPr>
          <w:rFonts w:cs="Times New Roman"/>
        </w:rPr>
        <w:t>42197</w:t>
      </w:r>
      <w:r w:rsidR="007B0B50" w:rsidRPr="001B72C0">
        <w:rPr>
          <w:rFonts w:cs="Times New Roman"/>
        </w:rPr>
        <w:t>, Item No. 9 (F</w:t>
      </w:r>
      <w:r w:rsidR="00BE4226">
        <w:rPr>
          <w:rFonts w:cs="Times New Roman"/>
        </w:rPr>
        <w:t xml:space="preserve">eb. 25, 2014) </w:t>
      </w:r>
      <w:r w:rsidRPr="001B72C0">
        <w:rPr>
          <w:rFonts w:cs="Times New Roman"/>
        </w:rPr>
        <w:t>(“Exelon … filed a response and agreed, in the interest of judicial economy, that this docket should be abated pending the Fifth Circuit’s decision. On February 24, 2014, Commission Staff filed a response to Order No. 2, recommending that the Commission abate this matter in light of Complainants’ agreement to such and consistent with</w:t>
      </w:r>
      <w:r w:rsidR="0034691A">
        <w:rPr>
          <w:rFonts w:cs="Times New Roman"/>
        </w:rPr>
        <w:t xml:space="preserve"> the requests of </w:t>
      </w:r>
      <w:proofErr w:type="spellStart"/>
      <w:r w:rsidR="0034691A">
        <w:rPr>
          <w:rFonts w:cs="Times New Roman"/>
        </w:rPr>
        <w:t>OPL</w:t>
      </w:r>
      <w:proofErr w:type="spellEnd"/>
      <w:r w:rsidR="0034691A">
        <w:rPr>
          <w:rFonts w:cs="Times New Roman"/>
        </w:rPr>
        <w:t xml:space="preserve"> and </w:t>
      </w:r>
      <w:proofErr w:type="spellStart"/>
      <w:r w:rsidR="0034691A">
        <w:rPr>
          <w:rFonts w:cs="Times New Roman"/>
        </w:rPr>
        <w:t>SPS</w:t>
      </w:r>
      <w:proofErr w:type="spellEnd"/>
      <w:r w:rsidR="0034691A">
        <w:rPr>
          <w:rFonts w:cs="Times New Roman"/>
        </w:rPr>
        <w:t>.”) (</w:t>
      </w:r>
      <w:proofErr w:type="gramStart"/>
      <w:r w:rsidR="0034691A">
        <w:rPr>
          <w:rFonts w:cs="Times New Roman"/>
        </w:rPr>
        <w:t>emphasis</w:t>
      </w:r>
      <w:proofErr w:type="gramEnd"/>
      <w:r w:rsidR="0034691A">
        <w:rPr>
          <w:rFonts w:cs="Times New Roman"/>
        </w:rPr>
        <w:t xml:space="preserve"> added).</w:t>
      </w:r>
    </w:p>
  </w:footnote>
  <w:footnote w:id="63">
    <w:p w14:paraId="30855D63" w14:textId="2766764A" w:rsidR="003308AC" w:rsidRPr="001B72C0" w:rsidRDefault="003308AC">
      <w:pPr>
        <w:pStyle w:val="FootnoteText"/>
        <w:rPr>
          <w:rFonts w:cs="Times New Roman"/>
        </w:rPr>
      </w:pPr>
      <w:r w:rsidRPr="001B72C0">
        <w:rPr>
          <w:rStyle w:val="FootnoteReference"/>
          <w:rFonts w:cs="Times New Roman"/>
        </w:rPr>
        <w:footnoteRef/>
      </w:r>
      <w:r w:rsidRPr="001B72C0">
        <w:rPr>
          <w:rFonts w:cs="Times New Roman"/>
        </w:rPr>
        <w:t xml:space="preserve"> </w:t>
      </w:r>
      <w:r w:rsidR="007B0B50" w:rsidRPr="001B72C0">
        <w:rPr>
          <w:rFonts w:cs="Times New Roman"/>
          <w:i/>
        </w:rPr>
        <w:t>See</w:t>
      </w:r>
      <w:r w:rsidR="007B0B50" w:rsidRPr="001B72C0">
        <w:rPr>
          <w:rFonts w:cs="Times New Roman"/>
        </w:rPr>
        <w:t xml:space="preserve"> Order No. 22</w:t>
      </w:r>
      <w:r w:rsidR="00BE4226">
        <w:rPr>
          <w:rFonts w:cs="Times New Roman"/>
        </w:rPr>
        <w:t xml:space="preserve"> at 2</w:t>
      </w:r>
      <w:r w:rsidR="007B0B50" w:rsidRPr="001B72C0">
        <w:rPr>
          <w:rFonts w:cs="Times New Roman"/>
        </w:rPr>
        <w:t>, PUC Docket No. 435</w:t>
      </w:r>
      <w:r w:rsidR="00BE4226">
        <w:rPr>
          <w:rFonts w:cs="Times New Roman"/>
        </w:rPr>
        <w:t>72, Item No. 71 (July 7, 2006)</w:t>
      </w:r>
      <w:r w:rsidRPr="001B72C0">
        <w:rPr>
          <w:rFonts w:cs="Times New Roman"/>
        </w:rPr>
        <w:t xml:space="preserve"> (“The </w:t>
      </w:r>
      <w:proofErr w:type="spellStart"/>
      <w:r w:rsidRPr="001B72C0">
        <w:rPr>
          <w:rFonts w:cs="Times New Roman"/>
        </w:rPr>
        <w:t>ALJ</w:t>
      </w:r>
      <w:proofErr w:type="spellEnd"/>
      <w:r w:rsidRPr="001B72C0">
        <w:rPr>
          <w:rFonts w:cs="Times New Roman"/>
        </w:rPr>
        <w:t xml:space="preserve"> hereby denies Bexar Met’s request for additional abatement of this case.”</w:t>
      </w:r>
      <w:r w:rsidR="0034691A">
        <w:rPr>
          <w:rFonts w:cs="Times New Roman"/>
        </w:rPr>
        <w:t>) (</w:t>
      </w:r>
      <w:proofErr w:type="gramStart"/>
      <w:r w:rsidR="0034691A">
        <w:rPr>
          <w:rFonts w:cs="Times New Roman"/>
        </w:rPr>
        <w:t>emphasis</w:t>
      </w:r>
      <w:proofErr w:type="gramEnd"/>
      <w:r w:rsidR="0034691A">
        <w:rPr>
          <w:rFonts w:cs="Times New Roman"/>
        </w:rPr>
        <w:t xml:space="preserve"> added).</w:t>
      </w:r>
    </w:p>
  </w:footnote>
  <w:footnote w:id="64">
    <w:p w14:paraId="64D905A6" w14:textId="5E2159EF" w:rsidR="003308AC" w:rsidRPr="001B72C0" w:rsidRDefault="003308AC" w:rsidP="007D62B3">
      <w:pPr>
        <w:pStyle w:val="FootnoteText"/>
        <w:rPr>
          <w:rFonts w:cs="Times New Roman"/>
        </w:rPr>
      </w:pPr>
      <w:r w:rsidRPr="001B72C0">
        <w:rPr>
          <w:rStyle w:val="FootnoteReference"/>
          <w:rFonts w:cs="Times New Roman"/>
        </w:rPr>
        <w:footnoteRef/>
      </w:r>
      <w:r w:rsidRPr="001B72C0">
        <w:rPr>
          <w:rFonts w:cs="Times New Roman"/>
        </w:rPr>
        <w:t xml:space="preserve"> </w:t>
      </w:r>
      <w:r w:rsidR="007B0B50" w:rsidRPr="001B72C0">
        <w:rPr>
          <w:rFonts w:cs="Times New Roman"/>
          <w:i/>
        </w:rPr>
        <w:t>See</w:t>
      </w:r>
      <w:r w:rsidR="007B0B50" w:rsidRPr="001B72C0">
        <w:rPr>
          <w:rFonts w:cs="Times New Roman"/>
        </w:rPr>
        <w:t xml:space="preserve"> 16 </w:t>
      </w:r>
      <w:proofErr w:type="spellStart"/>
      <w:r w:rsidR="007B0B50" w:rsidRPr="001B72C0">
        <w:rPr>
          <w:rFonts w:cs="Times New Roman"/>
        </w:rPr>
        <w:t>TAC</w:t>
      </w:r>
      <w:proofErr w:type="spellEnd"/>
      <w:r w:rsidR="007B0B50" w:rsidRPr="001B72C0">
        <w:rPr>
          <w:rFonts w:cs="Times New Roman"/>
        </w:rPr>
        <w:t xml:space="preserve"> § </w:t>
      </w:r>
      <w:r w:rsidRPr="001B72C0">
        <w:rPr>
          <w:rFonts w:cs="Times New Roman"/>
        </w:rPr>
        <w:t>22.202(c)</w:t>
      </w:r>
      <w:r w:rsidR="007B0B50" w:rsidRPr="001B72C0">
        <w:rPr>
          <w:rFonts w:cs="Times New Roman"/>
        </w:rPr>
        <w:t>.</w:t>
      </w:r>
    </w:p>
  </w:footnote>
  <w:footnote w:id="65">
    <w:p w14:paraId="03E5698B" w14:textId="2545B178" w:rsidR="003308AC" w:rsidRPr="001B72C0" w:rsidRDefault="003308AC">
      <w:pPr>
        <w:pStyle w:val="FootnoteText"/>
        <w:rPr>
          <w:rFonts w:cs="Times New Roman"/>
        </w:rPr>
      </w:pPr>
      <w:r w:rsidRPr="001B72C0">
        <w:rPr>
          <w:rStyle w:val="FootnoteReference"/>
          <w:rFonts w:cs="Times New Roman"/>
        </w:rPr>
        <w:footnoteRef/>
      </w:r>
      <w:r w:rsidRPr="001B72C0">
        <w:rPr>
          <w:rFonts w:cs="Times New Roman"/>
        </w:rPr>
        <w:t xml:space="preserve"> </w:t>
      </w:r>
      <w:r w:rsidRPr="001B72C0">
        <w:rPr>
          <w:rFonts w:cs="Times New Roman"/>
          <w:i/>
        </w:rPr>
        <w:t>See</w:t>
      </w:r>
      <w:r w:rsidRPr="001B72C0">
        <w:rPr>
          <w:rFonts w:cs="Times New Roman"/>
        </w:rPr>
        <w:t xml:space="preserve"> City of Austin’s Motion for Stay of Contested Case Hearing</w:t>
      </w:r>
      <w:r w:rsidR="00BE4226">
        <w:rPr>
          <w:rFonts w:cs="Times New Roman"/>
        </w:rPr>
        <w:t xml:space="preserve"> at 3</w:t>
      </w:r>
      <w:r w:rsidRPr="001B72C0">
        <w:rPr>
          <w:rFonts w:cs="Times New Roman"/>
        </w:rPr>
        <w:t xml:space="preserve">, PUC Docket No. 42857, </w:t>
      </w:r>
      <w:r w:rsidR="001B72C0" w:rsidRPr="001B72C0">
        <w:rPr>
          <w:rFonts w:cs="Times New Roman"/>
        </w:rPr>
        <w:t>It</w:t>
      </w:r>
      <w:r w:rsidR="00BE4226">
        <w:rPr>
          <w:rFonts w:cs="Times New Roman"/>
        </w:rPr>
        <w:t xml:space="preserve">em No. 252 (Feb. 10, 2015) </w:t>
      </w:r>
      <w:r w:rsidR="001B72C0" w:rsidRPr="001B72C0">
        <w:rPr>
          <w:rFonts w:cs="Times New Roman"/>
        </w:rPr>
        <w:t xml:space="preserve">(“Austin has sought declaratory judgment on the applicability and validity of PUC Rules at 16 Tex. Admin. </w:t>
      </w:r>
      <w:proofErr w:type="gramStart"/>
      <w:r w:rsidR="001B72C0" w:rsidRPr="001B72C0">
        <w:rPr>
          <w:rFonts w:cs="Times New Roman"/>
        </w:rPr>
        <w:t>Code § 24.29 to authorize interim rates and rate refunds from the Travis County District Court in Cause No.</w:t>
      </w:r>
      <w:proofErr w:type="gramEnd"/>
      <w:r w:rsidR="001B72C0" w:rsidRPr="001B72C0">
        <w:rPr>
          <w:rFonts w:cs="Times New Roman"/>
        </w:rPr>
        <w:t xml:space="preserve"> </w:t>
      </w:r>
      <w:proofErr w:type="gramStart"/>
      <w:r w:rsidR="001B72C0" w:rsidRPr="001B72C0">
        <w:rPr>
          <w:rFonts w:cs="Times New Roman"/>
        </w:rPr>
        <w:t>D-1-</w:t>
      </w:r>
      <w:proofErr w:type="spellStart"/>
      <w:r w:rsidR="001B72C0" w:rsidRPr="001B72C0">
        <w:rPr>
          <w:rFonts w:cs="Times New Roman"/>
        </w:rPr>
        <w:t>GN</w:t>
      </w:r>
      <w:proofErr w:type="spellEnd"/>
      <w:r w:rsidR="001B72C0" w:rsidRPr="001B72C0">
        <w:rPr>
          <w:rFonts w:cs="Times New Roman"/>
        </w:rPr>
        <w:t>-15-000513.</w:t>
      </w:r>
      <w:proofErr w:type="gramEnd"/>
      <w:r w:rsidR="001B72C0" w:rsidRPr="001B72C0">
        <w:rPr>
          <w:rFonts w:cs="Times New Roman"/>
        </w:rPr>
        <w:t xml:space="preserve"> … This lawsuit requests a declaratory judgment and also a temporary injunction of the pending contested case hearing until resolution of the issues which are central to the pending hearing.”).</w:t>
      </w:r>
    </w:p>
  </w:footnote>
  <w:footnote w:id="66">
    <w:p w14:paraId="3C22BE0D" w14:textId="7880AEA5" w:rsidR="001B72C0" w:rsidRPr="001B72C0" w:rsidRDefault="001B72C0">
      <w:pPr>
        <w:pStyle w:val="FootnoteText"/>
        <w:rPr>
          <w:rFonts w:cs="Times New Roman"/>
        </w:rPr>
      </w:pPr>
      <w:r w:rsidRPr="001B72C0">
        <w:rPr>
          <w:rStyle w:val="FootnoteReference"/>
          <w:rFonts w:cs="Times New Roman"/>
        </w:rPr>
        <w:footnoteRef/>
      </w:r>
      <w:r w:rsidRPr="001B72C0">
        <w:rPr>
          <w:rFonts w:cs="Times New Roman"/>
        </w:rPr>
        <w:t xml:space="preserve"> </w:t>
      </w:r>
      <w:r w:rsidRPr="001B72C0">
        <w:rPr>
          <w:rFonts w:cs="Times New Roman"/>
          <w:i/>
        </w:rPr>
        <w:t>See id</w:t>
      </w:r>
      <w:r w:rsidRPr="001B72C0">
        <w:rPr>
          <w:rFonts w:cs="Times New Roman"/>
        </w:rPr>
        <w:t xml:space="preserve">. </w:t>
      </w:r>
      <w:proofErr w:type="gramStart"/>
      <w:r w:rsidRPr="001B72C0">
        <w:rPr>
          <w:rFonts w:cs="Times New Roman"/>
        </w:rPr>
        <w:t>at</w:t>
      </w:r>
      <w:proofErr w:type="gramEnd"/>
      <w:r w:rsidRPr="001B72C0">
        <w:rPr>
          <w:rFonts w:cs="Times New Roman"/>
        </w:rPr>
        <w:t xml:space="preserve"> 4 (“Austin respectfully requests the Administrative Law Judges stay the pending contested case hearing, until resolution of the issues in Cause No. D-1-</w:t>
      </w:r>
      <w:proofErr w:type="spellStart"/>
      <w:r w:rsidRPr="001B72C0">
        <w:rPr>
          <w:rFonts w:cs="Times New Roman"/>
        </w:rPr>
        <w:t>GN</w:t>
      </w:r>
      <w:proofErr w:type="spellEnd"/>
      <w:r w:rsidRPr="001B72C0">
        <w:rPr>
          <w:rFonts w:cs="Times New Roman"/>
        </w:rPr>
        <w:t>-15-000513 ….).</w:t>
      </w:r>
    </w:p>
  </w:footnote>
  <w:footnote w:id="67">
    <w:p w14:paraId="3281E0A2" w14:textId="7D433ABC" w:rsidR="003308AC" w:rsidRPr="001B72C0" w:rsidRDefault="003308AC">
      <w:pPr>
        <w:pStyle w:val="FootnoteText"/>
        <w:rPr>
          <w:rFonts w:cs="Times New Roman"/>
        </w:rPr>
      </w:pPr>
      <w:r w:rsidRPr="001B72C0">
        <w:rPr>
          <w:rStyle w:val="FootnoteReference"/>
          <w:rFonts w:cs="Times New Roman"/>
        </w:rPr>
        <w:footnoteRef/>
      </w:r>
      <w:r w:rsidRPr="001B72C0">
        <w:rPr>
          <w:rFonts w:cs="Times New Roman"/>
        </w:rPr>
        <w:t xml:space="preserve"> </w:t>
      </w:r>
      <w:r w:rsidR="001B72C0" w:rsidRPr="001B72C0">
        <w:rPr>
          <w:rFonts w:cs="Times New Roman"/>
          <w:i/>
        </w:rPr>
        <w:t>See</w:t>
      </w:r>
      <w:r w:rsidR="001B72C0" w:rsidRPr="001B72C0">
        <w:rPr>
          <w:rFonts w:cs="Times New Roman"/>
        </w:rPr>
        <w:t xml:space="preserve"> Order No. 21</w:t>
      </w:r>
      <w:r w:rsidR="00BE4226">
        <w:rPr>
          <w:rFonts w:cs="Times New Roman"/>
        </w:rPr>
        <w:t xml:space="preserve"> at 3</w:t>
      </w:r>
      <w:r w:rsidR="001B72C0" w:rsidRPr="001B72C0">
        <w:rPr>
          <w:rFonts w:cs="Times New Roman"/>
        </w:rPr>
        <w:t>, PUC D</w:t>
      </w:r>
      <w:r w:rsidRPr="001B72C0">
        <w:rPr>
          <w:rFonts w:cs="Times New Roman"/>
        </w:rPr>
        <w:t xml:space="preserve">ocket </w:t>
      </w:r>
      <w:r w:rsidR="001B72C0" w:rsidRPr="001B72C0">
        <w:rPr>
          <w:rFonts w:cs="Times New Roman"/>
        </w:rPr>
        <w:t xml:space="preserve">No. </w:t>
      </w:r>
      <w:r w:rsidRPr="001B72C0">
        <w:rPr>
          <w:rFonts w:cs="Times New Roman"/>
        </w:rPr>
        <w:t xml:space="preserve">42857, </w:t>
      </w:r>
      <w:r w:rsidR="001B72C0" w:rsidRPr="001B72C0">
        <w:rPr>
          <w:rFonts w:cs="Times New Roman"/>
        </w:rPr>
        <w:t>I</w:t>
      </w:r>
      <w:r w:rsidR="00BE4226">
        <w:rPr>
          <w:rFonts w:cs="Times New Roman"/>
        </w:rPr>
        <w:t>tem No. 258 (Feb. 11, 2015)</w:t>
      </w:r>
      <w:r w:rsidR="001B72C0" w:rsidRPr="001B72C0">
        <w:rPr>
          <w:rFonts w:cs="Times New Roman"/>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818AFE02"/>
    <w:lvl w:ilvl="0">
      <w:start w:val="1"/>
      <w:numFmt w:val="bullet"/>
      <w:lvlText w:val=""/>
      <w:lvlJc w:val="left"/>
      <w:pPr>
        <w:tabs>
          <w:tab w:val="num" w:pos="720"/>
        </w:tabs>
        <w:ind w:left="720" w:hanging="648"/>
      </w:pPr>
      <w:rPr>
        <w:rFonts w:ascii="Symbol" w:hAnsi="Symbol" w:hint="default"/>
      </w:rPr>
    </w:lvl>
  </w:abstractNum>
  <w:abstractNum w:abstractNumId="1">
    <w:nsid w:val="04DD3F37"/>
    <w:multiLevelType w:val="multilevel"/>
    <w:tmpl w:val="073E3BEC"/>
    <w:lvl w:ilvl="0">
      <w:start w:val="1"/>
      <w:numFmt w:val="upperRoman"/>
      <w:pStyle w:val="Heading1"/>
      <w:lvlText w:val="%1."/>
      <w:lvlJc w:val="left"/>
      <w:pPr>
        <w:tabs>
          <w:tab w:val="num" w:pos="0"/>
        </w:tabs>
        <w:ind w:left="0" w:firstLine="0"/>
      </w:pPr>
      <w:rPr>
        <w:rFonts w:ascii="Times New Roman Bold" w:hAnsi="Times New Roman Bold"/>
        <w:b/>
        <w:i w:val="0"/>
        <w:caps/>
        <w:smallCaps w:val="0"/>
        <w:strike w:val="0"/>
        <w:dstrike w:val="0"/>
        <w:outline w:val="0"/>
        <w:shadow w:val="0"/>
        <w:emboss w:val="0"/>
        <w:imprint w:val="0"/>
        <w:vanish w:val="0"/>
        <w:color w:val="000000"/>
        <w:sz w:val="24"/>
        <w:u w:val="none"/>
        <w:effect w:val="none"/>
        <w:vertAlign w:val="baseline"/>
      </w:rPr>
    </w:lvl>
    <w:lvl w:ilvl="1">
      <w:start w:val="1"/>
      <w:numFmt w:val="upperLetter"/>
      <w:pStyle w:val="Heading2"/>
      <w:lvlText w:val="%2."/>
      <w:lvlJc w:val="left"/>
      <w:pPr>
        <w:tabs>
          <w:tab w:val="num" w:pos="0"/>
        </w:tabs>
        <w:ind w:left="1440" w:hanging="720"/>
      </w:pPr>
      <w:rPr>
        <w:rFonts w:ascii="Times New Roman Bold" w:hAnsi="Times New Roman Bold"/>
        <w:b/>
        <w:i w:val="0"/>
        <w:caps w:val="0"/>
        <w:strike w:val="0"/>
        <w:dstrike w:val="0"/>
        <w:outline w:val="0"/>
        <w:shadow w:val="0"/>
        <w:emboss w:val="0"/>
        <w:imprint w:val="0"/>
        <w:vanish w:val="0"/>
        <w:color w:val="000000"/>
        <w:sz w:val="24"/>
        <w:u w:val="none"/>
        <w:effect w:val="none"/>
        <w:vertAlign w:val="baseline"/>
      </w:rPr>
    </w:lvl>
    <w:lvl w:ilvl="2">
      <w:start w:val="1"/>
      <w:numFmt w:val="decimal"/>
      <w:pStyle w:val="Heading3"/>
      <w:lvlText w:val="%3."/>
      <w:lvlJc w:val="left"/>
      <w:pPr>
        <w:tabs>
          <w:tab w:val="num" w:pos="0"/>
        </w:tabs>
        <w:ind w:left="2160" w:hanging="720"/>
      </w:pPr>
      <w:rPr>
        <w:rFonts w:ascii="Times New Roman Bold" w:hAnsi="Times New Roman Bold"/>
        <w:b/>
        <w:i/>
        <w:caps w:val="0"/>
        <w:strike w:val="0"/>
        <w:dstrike w:val="0"/>
        <w:outline w:val="0"/>
        <w:shadow w:val="0"/>
        <w:emboss w:val="0"/>
        <w:imprint w:val="0"/>
        <w:vanish w:val="0"/>
        <w:color w:val="000000"/>
        <w:sz w:val="24"/>
        <w:u w:val="none"/>
        <w:effect w:val="none"/>
        <w:vertAlign w:val="baseline"/>
      </w:rPr>
    </w:lvl>
    <w:lvl w:ilvl="3">
      <w:start w:val="1"/>
      <w:numFmt w:val="none"/>
      <w:pStyle w:val="Heading4"/>
      <w:suff w:val="nothing"/>
      <w:lvlText w:val=""/>
      <w:lvlJc w:val="left"/>
      <w:pPr>
        <w:tabs>
          <w:tab w:val="num" w:pos="0"/>
        </w:tabs>
        <w:ind w:left="2160" w:firstLine="0"/>
      </w:pPr>
      <w:rPr>
        <w:rFonts w:ascii="9999999" w:hAnsi="9999999"/>
        <w:b w:val="0"/>
        <w:i w:val="0"/>
        <w:caps w:val="0"/>
        <w:strike w:val="0"/>
        <w:dstrike w:val="0"/>
        <w:outline w:val="0"/>
        <w:shadow w:val="0"/>
        <w:emboss w:val="0"/>
        <w:imprint w:val="0"/>
        <w:vanish w:val="0"/>
        <w:color w:val="000000"/>
        <w:u w:val="none"/>
        <w:effect w:val="none"/>
        <w:vertAlign w:val="baseline"/>
      </w:rPr>
    </w:lvl>
    <w:lvl w:ilvl="4">
      <w:start w:val="1"/>
      <w:numFmt w:val="none"/>
      <w:pStyle w:val="Heading5"/>
      <w:suff w:val="nothing"/>
      <w:lvlText w:val=""/>
      <w:lvlJc w:val="left"/>
      <w:pPr>
        <w:tabs>
          <w:tab w:val="num" w:pos="0"/>
        </w:tabs>
        <w:ind w:left="2880" w:firstLine="0"/>
      </w:pPr>
      <w:rPr>
        <w:rFonts w:ascii="9999999" w:hAnsi="9999999"/>
        <w:b w:val="0"/>
        <w:i w:val="0"/>
        <w:caps w:val="0"/>
        <w:strike w:val="0"/>
        <w:dstrike w:val="0"/>
        <w:outline w:val="0"/>
        <w:shadow w:val="0"/>
        <w:emboss w:val="0"/>
        <w:imprint w:val="0"/>
        <w:vanish w:val="0"/>
        <w:color w:val="000000"/>
        <w:u w:val="none"/>
        <w:effect w:val="none"/>
        <w:vertAlign w:val="baseline"/>
      </w:rPr>
    </w:lvl>
    <w:lvl w:ilvl="5">
      <w:start w:val="1"/>
      <w:numFmt w:val="none"/>
      <w:pStyle w:val="Heading6"/>
      <w:suff w:val="nothing"/>
      <w:lvlText w:val=""/>
      <w:lvlJc w:val="left"/>
      <w:pPr>
        <w:tabs>
          <w:tab w:val="num" w:pos="0"/>
        </w:tabs>
        <w:ind w:left="3600" w:firstLine="0"/>
      </w:pPr>
      <w:rPr>
        <w:rFonts w:ascii="9999999" w:hAnsi="9999999"/>
        <w:b w:val="0"/>
        <w:i w:val="0"/>
        <w:caps w:val="0"/>
        <w:strike w:val="0"/>
        <w:dstrike w:val="0"/>
        <w:outline w:val="0"/>
        <w:shadow w:val="0"/>
        <w:emboss w:val="0"/>
        <w:imprint w:val="0"/>
        <w:vanish w:val="0"/>
        <w:color w:val="000000"/>
        <w:u w:val="none"/>
        <w:effect w:val="none"/>
        <w:vertAlign w:val="baseline"/>
      </w:rPr>
    </w:lvl>
    <w:lvl w:ilvl="6">
      <w:start w:val="1"/>
      <w:numFmt w:val="none"/>
      <w:pStyle w:val="Heading7"/>
      <w:suff w:val="nothing"/>
      <w:lvlText w:val=""/>
      <w:lvlJc w:val="left"/>
      <w:pPr>
        <w:tabs>
          <w:tab w:val="num" w:pos="0"/>
        </w:tabs>
        <w:ind w:left="4320" w:firstLine="0"/>
      </w:pPr>
      <w:rPr>
        <w:rFonts w:ascii="9999999" w:hAnsi="9999999"/>
        <w:b w:val="0"/>
        <w:i w:val="0"/>
        <w:caps w:val="0"/>
        <w:strike w:val="0"/>
        <w:dstrike w:val="0"/>
        <w:outline w:val="0"/>
        <w:shadow w:val="0"/>
        <w:emboss w:val="0"/>
        <w:imprint w:val="0"/>
        <w:vanish w:val="0"/>
        <w:color w:val="000000"/>
        <w:u w:val="none"/>
        <w:effect w:val="none"/>
        <w:vertAlign w:val="baseline"/>
      </w:rPr>
    </w:lvl>
    <w:lvl w:ilvl="7">
      <w:start w:val="1"/>
      <w:numFmt w:val="none"/>
      <w:pStyle w:val="Heading8"/>
      <w:suff w:val="nothing"/>
      <w:lvlText w:val=""/>
      <w:lvlJc w:val="left"/>
      <w:pPr>
        <w:tabs>
          <w:tab w:val="num" w:pos="0"/>
        </w:tabs>
        <w:ind w:left="5040" w:firstLine="0"/>
      </w:pPr>
      <w:rPr>
        <w:rFonts w:ascii="9999999" w:hAnsi="9999999"/>
        <w:b w:val="0"/>
        <w:i w:val="0"/>
        <w:caps w:val="0"/>
        <w:strike w:val="0"/>
        <w:dstrike w:val="0"/>
        <w:outline w:val="0"/>
        <w:shadow w:val="0"/>
        <w:emboss w:val="0"/>
        <w:imprint w:val="0"/>
        <w:vanish w:val="0"/>
        <w:color w:val="000000"/>
        <w:u w:val="none"/>
        <w:effect w:val="none"/>
        <w:vertAlign w:val="baseline"/>
      </w:rPr>
    </w:lvl>
    <w:lvl w:ilvl="8">
      <w:start w:val="1"/>
      <w:numFmt w:val="none"/>
      <w:pStyle w:val="Heading9"/>
      <w:suff w:val="nothing"/>
      <w:lvlText w:val=""/>
      <w:lvlJc w:val="left"/>
      <w:pPr>
        <w:tabs>
          <w:tab w:val="num" w:pos="0"/>
        </w:tabs>
        <w:ind w:left="5760" w:firstLine="0"/>
      </w:pPr>
      <w:rPr>
        <w:rFonts w:ascii="9999999" w:hAnsi="9999999"/>
        <w:b w:val="0"/>
        <w:i w:val="0"/>
        <w:caps w:val="0"/>
        <w:strike w:val="0"/>
        <w:dstrike w:val="0"/>
        <w:outline w:val="0"/>
        <w:shadow w:val="0"/>
        <w:emboss w:val="0"/>
        <w:imprint w:val="0"/>
        <w:vanish w:val="0"/>
        <w:color w:val="000000"/>
        <w:u w:val="none"/>
        <w:effect w:val="none"/>
        <w:vertAlign w:val="baseline"/>
      </w:rPr>
    </w:lvl>
  </w:abstractNum>
  <w:abstractNum w:abstractNumId="2">
    <w:nsid w:val="05C63A1D"/>
    <w:multiLevelType w:val="multilevel"/>
    <w:tmpl w:val="20304B46"/>
    <w:name w:val="ListBullet"/>
    <w:lvl w:ilvl="0">
      <w:start w:val="1"/>
      <w:numFmt w:val="bullet"/>
      <w:pStyle w:val="LBListBullet"/>
      <w:lvlText w:val=""/>
      <w:lvlJc w:val="left"/>
      <w:pPr>
        <w:ind w:left="720" w:hanging="720"/>
      </w:pPr>
      <w:rPr>
        <w:rFonts w:ascii="Symbol" w:hAnsi="Symbol" w:hint="default"/>
      </w:rPr>
    </w:lvl>
    <w:lvl w:ilvl="1">
      <w:start w:val="1"/>
      <w:numFmt w:val="bullet"/>
      <w:lvlText w:val=""/>
      <w:lvlJc w:val="left"/>
      <w:pPr>
        <w:ind w:left="1440" w:hanging="720"/>
      </w:pPr>
      <w:rPr>
        <w:rFonts w:ascii="Symbol" w:hAnsi="Symbol" w:hint="default"/>
      </w:rPr>
    </w:lvl>
    <w:lvl w:ilvl="2">
      <w:start w:val="1"/>
      <w:numFmt w:val="bullet"/>
      <w:lvlText w:val=""/>
      <w:lvlJc w:val="left"/>
      <w:pPr>
        <w:ind w:left="2160" w:hanging="720"/>
      </w:pPr>
      <w:rPr>
        <w:rFonts w:ascii="Symbol" w:hAnsi="Symbol" w:hint="default"/>
      </w:rPr>
    </w:lvl>
    <w:lvl w:ilvl="3">
      <w:start w:val="1"/>
      <w:numFmt w:val="bullet"/>
      <w:lvlText w:val=""/>
      <w:lvlJc w:val="left"/>
      <w:pPr>
        <w:ind w:left="2880" w:hanging="720"/>
      </w:pPr>
      <w:rPr>
        <w:rFonts w:ascii="Symbol" w:hAnsi="Symbol" w:hint="default"/>
      </w:rPr>
    </w:lvl>
    <w:lvl w:ilvl="4">
      <w:start w:val="1"/>
      <w:numFmt w:val="bullet"/>
      <w:lvlText w:val=""/>
      <w:lvlJc w:val="left"/>
      <w:pPr>
        <w:ind w:left="3600" w:hanging="720"/>
      </w:pPr>
      <w:rPr>
        <w:rFonts w:ascii="Symbol" w:hAnsi="Symbol" w:hint="default"/>
      </w:rPr>
    </w:lvl>
    <w:lvl w:ilvl="5">
      <w:start w:val="1"/>
      <w:numFmt w:val="bullet"/>
      <w:lvlText w:val=""/>
      <w:lvlJc w:val="left"/>
      <w:pPr>
        <w:ind w:left="4320" w:hanging="720"/>
      </w:pPr>
      <w:rPr>
        <w:rFonts w:ascii="Symbol" w:hAnsi="Symbol" w:hint="default"/>
      </w:rPr>
    </w:lvl>
    <w:lvl w:ilvl="6">
      <w:start w:val="1"/>
      <w:numFmt w:val="bullet"/>
      <w:lvlText w:val=""/>
      <w:lvlJc w:val="left"/>
      <w:pPr>
        <w:ind w:left="5040" w:hanging="720"/>
      </w:pPr>
      <w:rPr>
        <w:rFonts w:ascii="Symbol" w:hAnsi="Symbol" w:hint="default"/>
      </w:rPr>
    </w:lvl>
    <w:lvl w:ilvl="7">
      <w:start w:val="1"/>
      <w:numFmt w:val="bullet"/>
      <w:lvlText w:val=""/>
      <w:lvlJc w:val="left"/>
      <w:pPr>
        <w:ind w:left="5760" w:hanging="720"/>
      </w:pPr>
      <w:rPr>
        <w:rFonts w:ascii="Symbol" w:hAnsi="Symbol" w:hint="default"/>
      </w:rPr>
    </w:lvl>
    <w:lvl w:ilvl="8">
      <w:start w:val="1"/>
      <w:numFmt w:val="bullet"/>
      <w:lvlText w:val=""/>
      <w:lvlJc w:val="left"/>
      <w:pPr>
        <w:ind w:left="6480" w:hanging="720"/>
      </w:pPr>
      <w:rPr>
        <w:rFonts w:ascii="Symbol" w:hAnsi="Symbol" w:hint="default"/>
      </w:rPr>
    </w:lvl>
  </w:abstractNum>
  <w:abstractNum w:abstractNumId="3">
    <w:nsid w:val="16CE084A"/>
    <w:multiLevelType w:val="hybridMultilevel"/>
    <w:tmpl w:val="45A4280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18EB1520"/>
    <w:multiLevelType w:val="hybridMultilevel"/>
    <w:tmpl w:val="1286E3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E1A7DB6"/>
    <w:multiLevelType w:val="hybridMultilevel"/>
    <w:tmpl w:val="22FEF1F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13E094D"/>
    <w:multiLevelType w:val="multilevel"/>
    <w:tmpl w:val="C646F9D4"/>
    <w:name w:val="ListNumber"/>
    <w:lvl w:ilvl="0">
      <w:start w:val="1"/>
      <w:numFmt w:val="decimal"/>
      <w:pStyle w:val="LN1ListNumber"/>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rPr>
        <w:rFonts w:hint="default"/>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2880"/>
        </w:tabs>
        <w:ind w:left="2880" w:hanging="720"/>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688"/>
        </w:tabs>
        <w:ind w:left="5760" w:hanging="720"/>
      </w:pPr>
      <w:rPr>
        <w:rFonts w:hint="default"/>
      </w:rPr>
    </w:lvl>
    <w:lvl w:ilvl="8">
      <w:start w:val="1"/>
      <w:numFmt w:val="decimal"/>
      <w:lvlText w:val="%9."/>
      <w:lvlJc w:val="left"/>
      <w:pPr>
        <w:tabs>
          <w:tab w:val="num" w:pos="6408"/>
        </w:tabs>
        <w:ind w:left="6480" w:hanging="720"/>
      </w:pPr>
      <w:rPr>
        <w:rFonts w:hint="default"/>
      </w:rPr>
    </w:lvl>
  </w:abstractNum>
  <w:abstractNum w:abstractNumId="7">
    <w:nsid w:val="25875702"/>
    <w:multiLevelType w:val="hybridMultilevel"/>
    <w:tmpl w:val="42E6D9BE"/>
    <w:lvl w:ilvl="0" w:tplc="3F7E2ED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6B958C6"/>
    <w:multiLevelType w:val="multilevel"/>
    <w:tmpl w:val="49849E32"/>
    <w:name w:val="ListNumber2"/>
    <w:lvl w:ilvl="0">
      <w:start w:val="1"/>
      <w:numFmt w:val="upperLetter"/>
      <w:pStyle w:val="LN2ListNumber"/>
      <w:lvlText w:val="%1."/>
      <w:lvlJc w:val="left"/>
      <w:pPr>
        <w:ind w:left="720" w:hanging="720"/>
      </w:pPr>
      <w:rPr>
        <w:rFonts w:hint="default"/>
      </w:rPr>
    </w:lvl>
    <w:lvl w:ilvl="1">
      <w:start w:val="1"/>
      <w:numFmt w:val="upperLetter"/>
      <w:lvlText w:val="%2."/>
      <w:lvlJc w:val="left"/>
      <w:pPr>
        <w:ind w:left="1440" w:hanging="720"/>
      </w:pPr>
      <w:rPr>
        <w:rFonts w:hint="default"/>
      </w:rPr>
    </w:lvl>
    <w:lvl w:ilvl="2">
      <w:start w:val="1"/>
      <w:numFmt w:val="upperLetter"/>
      <w:lvlText w:val="%3."/>
      <w:lvlJc w:val="left"/>
      <w:pPr>
        <w:ind w:left="2160" w:hanging="720"/>
      </w:pPr>
      <w:rPr>
        <w:rFonts w:hint="default"/>
      </w:rPr>
    </w:lvl>
    <w:lvl w:ilvl="3">
      <w:start w:val="1"/>
      <w:numFmt w:val="upperLetter"/>
      <w:lvlText w:val="%4."/>
      <w:lvlJc w:val="left"/>
      <w:pPr>
        <w:ind w:left="2880" w:hanging="720"/>
      </w:pPr>
      <w:rPr>
        <w:rFonts w:hint="default"/>
      </w:rPr>
    </w:lvl>
    <w:lvl w:ilvl="4">
      <w:start w:val="1"/>
      <w:numFmt w:val="upperLetter"/>
      <w:lvlText w:val="%5."/>
      <w:lvlJc w:val="left"/>
      <w:pPr>
        <w:ind w:left="3600" w:hanging="720"/>
      </w:pPr>
      <w:rPr>
        <w:rFonts w:hint="default"/>
      </w:rPr>
    </w:lvl>
    <w:lvl w:ilvl="5">
      <w:start w:val="1"/>
      <w:numFmt w:val="upperLetter"/>
      <w:lvlText w:val="%6."/>
      <w:lvlJc w:val="left"/>
      <w:pPr>
        <w:ind w:left="4320" w:hanging="720"/>
      </w:pPr>
      <w:rPr>
        <w:rFonts w:hint="default"/>
      </w:rPr>
    </w:lvl>
    <w:lvl w:ilvl="6">
      <w:start w:val="1"/>
      <w:numFmt w:val="upperLetter"/>
      <w:lvlText w:val="%7."/>
      <w:lvlJc w:val="left"/>
      <w:pPr>
        <w:ind w:left="5040" w:hanging="720"/>
      </w:pPr>
      <w:rPr>
        <w:rFonts w:hint="default"/>
      </w:rPr>
    </w:lvl>
    <w:lvl w:ilvl="7">
      <w:start w:val="1"/>
      <w:numFmt w:val="upperLetter"/>
      <w:lvlText w:val="%8."/>
      <w:lvlJc w:val="left"/>
      <w:pPr>
        <w:ind w:left="5760" w:hanging="720"/>
      </w:pPr>
      <w:rPr>
        <w:rFonts w:hint="default"/>
      </w:rPr>
    </w:lvl>
    <w:lvl w:ilvl="8">
      <w:start w:val="1"/>
      <w:numFmt w:val="upperLetter"/>
      <w:lvlText w:val="%9."/>
      <w:lvlJc w:val="left"/>
      <w:pPr>
        <w:ind w:left="6480" w:hanging="720"/>
      </w:pPr>
      <w:rPr>
        <w:rFonts w:hint="default"/>
      </w:rPr>
    </w:lvl>
  </w:abstractNum>
  <w:abstractNum w:abstractNumId="9">
    <w:nsid w:val="48011679"/>
    <w:multiLevelType w:val="hybridMultilevel"/>
    <w:tmpl w:val="BAE0AC8A"/>
    <w:lvl w:ilvl="0" w:tplc="FF843772">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D9B752F"/>
    <w:multiLevelType w:val="hybridMultilevel"/>
    <w:tmpl w:val="DC1837D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52E6774B"/>
    <w:multiLevelType w:val="hybridMultilevel"/>
    <w:tmpl w:val="1EE2239A"/>
    <w:lvl w:ilvl="0" w:tplc="5EA0AD4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963051D"/>
    <w:multiLevelType w:val="hybridMultilevel"/>
    <w:tmpl w:val="95A8CD5C"/>
    <w:lvl w:ilvl="0" w:tplc="04090003">
      <w:start w:val="1"/>
      <w:numFmt w:val="bullet"/>
      <w:lvlText w:val="o"/>
      <w:lvlJc w:val="left"/>
      <w:pPr>
        <w:ind w:left="1500" w:hanging="360"/>
      </w:pPr>
      <w:rPr>
        <w:rFonts w:ascii="Courier New" w:hAnsi="Courier New" w:cs="Courier New"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13">
    <w:nsid w:val="5F5B63A8"/>
    <w:multiLevelType w:val="multilevel"/>
    <w:tmpl w:val="5E50A89C"/>
    <w:lvl w:ilvl="0">
      <w:start w:val="1"/>
      <w:numFmt w:val="bullet"/>
      <w:lvlText w:val=""/>
      <w:lvlJc w:val="left"/>
      <w:pPr>
        <w:ind w:left="360" w:hanging="360"/>
      </w:pPr>
      <w:rPr>
        <w:rFonts w:ascii="Symbol" w:hAnsi="Symbol" w:hint="default"/>
        <w:sz w:val="24"/>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nsid w:val="648335CF"/>
    <w:multiLevelType w:val="hybridMultilevel"/>
    <w:tmpl w:val="1F3A68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7B43A1A"/>
    <w:multiLevelType w:val="hybridMultilevel"/>
    <w:tmpl w:val="7DD4C18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nsid w:val="6C4C660A"/>
    <w:multiLevelType w:val="multilevel"/>
    <w:tmpl w:val="1512D6E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nsid w:val="71D24DD1"/>
    <w:multiLevelType w:val="hybridMultilevel"/>
    <w:tmpl w:val="390E2A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DAC70CD"/>
    <w:multiLevelType w:val="hybridMultilevel"/>
    <w:tmpl w:val="6A5CC6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E3764D5"/>
    <w:multiLevelType w:val="multilevel"/>
    <w:tmpl w:val="5E50A89C"/>
    <w:lvl w:ilvl="0">
      <w:start w:val="1"/>
      <w:numFmt w:val="bullet"/>
      <w:lvlText w:val=""/>
      <w:lvlJc w:val="left"/>
      <w:pPr>
        <w:ind w:left="360" w:hanging="360"/>
      </w:pPr>
      <w:rPr>
        <w:rFonts w:ascii="Symbol" w:hAnsi="Symbol" w:hint="default"/>
        <w:sz w:val="24"/>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7"/>
  </w:num>
  <w:num w:numId="2">
    <w:abstractNumId w:val="19"/>
  </w:num>
  <w:num w:numId="3">
    <w:abstractNumId w:val="13"/>
  </w:num>
  <w:num w:numId="4">
    <w:abstractNumId w:val="9"/>
  </w:num>
  <w:num w:numId="5">
    <w:abstractNumId w:val="2"/>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16"/>
  </w:num>
  <w:num w:numId="9">
    <w:abstractNumId w:val="8"/>
  </w:num>
  <w:num w:numId="10">
    <w:abstractNumId w:val="18"/>
  </w:num>
  <w:num w:numId="11">
    <w:abstractNumId w:val="12"/>
  </w:num>
  <w:num w:numId="12">
    <w:abstractNumId w:val="4"/>
  </w:num>
  <w:num w:numId="13">
    <w:abstractNumId w:val="10"/>
  </w:num>
  <w:num w:numId="14">
    <w:abstractNumId w:val="0"/>
  </w:num>
  <w:num w:numId="15">
    <w:abstractNumId w:val="15"/>
  </w:num>
  <w:num w:numId="16">
    <w:abstractNumId w:val="3"/>
  </w:num>
  <w:num w:numId="17">
    <w:abstractNumId w:val="17"/>
  </w:num>
  <w:num w:numId="18">
    <w:abstractNumId w:val="11"/>
  </w:num>
  <w:num w:numId="19">
    <w:abstractNumId w:val="14"/>
  </w:num>
  <w:num w:numId="20">
    <w:abstractNumId w:val="5"/>
  </w:num>
  <w:num w:numId="2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removePersonalInformation/>
  <w:proofState w:spelling="clean" w:grammar="clean"/>
  <w:defaultTabStop w:val="720"/>
  <w:characterSpacingControl w:val="doNotCompress"/>
  <w:hdrShapeDefaults>
    <o:shapedefaults v:ext="edit" spidmax="20480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SWActiveDesign" w:val="Heading"/>
    <w:docVar w:name="SWAllDesigns" w:val="Heading|"/>
    <w:docVar w:name="SWAllLineBreaks" w:val="Heading~~0|0|0|0|0|0|0|0|0|@@"/>
    <w:docVar w:name="SWDocIDLayout" w:val="41"/>
    <w:docVar w:name="SWDocIDLocation" w:val="0"/>
    <w:docVar w:name="SWTOCLevelsInfo" w:val="1=1|.  |3|0|0|@@2=1|.  |3|0|0|@@3=1|.  |3|0|0|@@"/>
    <w:docVar w:name="SWTOCLinkToLevel" w:val="Heading 1=1|Heading 2=2|Heading 3=3|"/>
    <w:docVar w:name="SWTOCOtherProperties" w:val="InsertStyleSeparators=0|TCFields=C|"/>
    <w:docVar w:name="SWTOCProperties" w:val="0|0|1|1|0|0|0|"/>
  </w:docVars>
  <w:rsids>
    <w:rsidRoot w:val="00D24F2D"/>
    <w:rsid w:val="0000064D"/>
    <w:rsid w:val="0000097B"/>
    <w:rsid w:val="00000D7E"/>
    <w:rsid w:val="00001693"/>
    <w:rsid w:val="0000325B"/>
    <w:rsid w:val="000054BA"/>
    <w:rsid w:val="000111E9"/>
    <w:rsid w:val="000162B9"/>
    <w:rsid w:val="00021B15"/>
    <w:rsid w:val="00021BAD"/>
    <w:rsid w:val="000258C4"/>
    <w:rsid w:val="000264C7"/>
    <w:rsid w:val="00030573"/>
    <w:rsid w:val="00032C07"/>
    <w:rsid w:val="00036A88"/>
    <w:rsid w:val="00041977"/>
    <w:rsid w:val="00042263"/>
    <w:rsid w:val="0004307A"/>
    <w:rsid w:val="00047621"/>
    <w:rsid w:val="0004778D"/>
    <w:rsid w:val="00056373"/>
    <w:rsid w:val="00060E35"/>
    <w:rsid w:val="0006266B"/>
    <w:rsid w:val="00062B24"/>
    <w:rsid w:val="00063282"/>
    <w:rsid w:val="00063381"/>
    <w:rsid w:val="0006494C"/>
    <w:rsid w:val="000651A6"/>
    <w:rsid w:val="00065959"/>
    <w:rsid w:val="00065D3C"/>
    <w:rsid w:val="00070343"/>
    <w:rsid w:val="00070632"/>
    <w:rsid w:val="00073F5E"/>
    <w:rsid w:val="000754C3"/>
    <w:rsid w:val="00075EF9"/>
    <w:rsid w:val="00080A9E"/>
    <w:rsid w:val="00083B08"/>
    <w:rsid w:val="00086BD9"/>
    <w:rsid w:val="00090ECB"/>
    <w:rsid w:val="000919EA"/>
    <w:rsid w:val="000A3FCA"/>
    <w:rsid w:val="000A68D0"/>
    <w:rsid w:val="000B0EFE"/>
    <w:rsid w:val="000B110E"/>
    <w:rsid w:val="000B4ECE"/>
    <w:rsid w:val="000B715A"/>
    <w:rsid w:val="000C170B"/>
    <w:rsid w:val="000C1B1B"/>
    <w:rsid w:val="000C5C3C"/>
    <w:rsid w:val="000D2D0D"/>
    <w:rsid w:val="000D34E7"/>
    <w:rsid w:val="000D4FB2"/>
    <w:rsid w:val="000D7689"/>
    <w:rsid w:val="000E14E9"/>
    <w:rsid w:val="000E29FF"/>
    <w:rsid w:val="000E4CEA"/>
    <w:rsid w:val="000F2C78"/>
    <w:rsid w:val="000F48A6"/>
    <w:rsid w:val="000F4F89"/>
    <w:rsid w:val="00100031"/>
    <w:rsid w:val="00104BB8"/>
    <w:rsid w:val="00107CD8"/>
    <w:rsid w:val="0011443C"/>
    <w:rsid w:val="001156A0"/>
    <w:rsid w:val="00115CFA"/>
    <w:rsid w:val="00120D4E"/>
    <w:rsid w:val="00121C8B"/>
    <w:rsid w:val="001226E0"/>
    <w:rsid w:val="00123EE3"/>
    <w:rsid w:val="00125F7D"/>
    <w:rsid w:val="00130D16"/>
    <w:rsid w:val="00130E52"/>
    <w:rsid w:val="001328D4"/>
    <w:rsid w:val="00132B06"/>
    <w:rsid w:val="00135171"/>
    <w:rsid w:val="001373CE"/>
    <w:rsid w:val="0014203B"/>
    <w:rsid w:val="001443BC"/>
    <w:rsid w:val="0014515A"/>
    <w:rsid w:val="00146519"/>
    <w:rsid w:val="00151C3E"/>
    <w:rsid w:val="00152450"/>
    <w:rsid w:val="00154423"/>
    <w:rsid w:val="001551A9"/>
    <w:rsid w:val="00160F17"/>
    <w:rsid w:val="00161DCE"/>
    <w:rsid w:val="00163039"/>
    <w:rsid w:val="00163D3C"/>
    <w:rsid w:val="00164868"/>
    <w:rsid w:val="0017767C"/>
    <w:rsid w:val="00184AF7"/>
    <w:rsid w:val="00185119"/>
    <w:rsid w:val="00193F23"/>
    <w:rsid w:val="001949F8"/>
    <w:rsid w:val="00194BB0"/>
    <w:rsid w:val="00197F86"/>
    <w:rsid w:val="001A280F"/>
    <w:rsid w:val="001A29F5"/>
    <w:rsid w:val="001A499B"/>
    <w:rsid w:val="001A5C1A"/>
    <w:rsid w:val="001A5F74"/>
    <w:rsid w:val="001B1BAB"/>
    <w:rsid w:val="001B3DE2"/>
    <w:rsid w:val="001B52AC"/>
    <w:rsid w:val="001B72C0"/>
    <w:rsid w:val="001B7ECD"/>
    <w:rsid w:val="001C1EFD"/>
    <w:rsid w:val="001C2E2C"/>
    <w:rsid w:val="001C43AC"/>
    <w:rsid w:val="001C6B77"/>
    <w:rsid w:val="001D2DEE"/>
    <w:rsid w:val="001D4CA3"/>
    <w:rsid w:val="001D505F"/>
    <w:rsid w:val="001D5473"/>
    <w:rsid w:val="001E44B8"/>
    <w:rsid w:val="001E4A45"/>
    <w:rsid w:val="001F099C"/>
    <w:rsid w:val="001F0C45"/>
    <w:rsid w:val="001F3171"/>
    <w:rsid w:val="001F6A5D"/>
    <w:rsid w:val="0020276F"/>
    <w:rsid w:val="0020325C"/>
    <w:rsid w:val="00204C20"/>
    <w:rsid w:val="00207E02"/>
    <w:rsid w:val="002144A0"/>
    <w:rsid w:val="00214D85"/>
    <w:rsid w:val="00215218"/>
    <w:rsid w:val="0021654F"/>
    <w:rsid w:val="0022426F"/>
    <w:rsid w:val="00226F7E"/>
    <w:rsid w:val="00232373"/>
    <w:rsid w:val="002356A8"/>
    <w:rsid w:val="00237DD3"/>
    <w:rsid w:val="00243578"/>
    <w:rsid w:val="00243BDA"/>
    <w:rsid w:val="00245883"/>
    <w:rsid w:val="00247A2D"/>
    <w:rsid w:val="00251F12"/>
    <w:rsid w:val="00252824"/>
    <w:rsid w:val="002618FC"/>
    <w:rsid w:val="002670B7"/>
    <w:rsid w:val="0026799B"/>
    <w:rsid w:val="0027084A"/>
    <w:rsid w:val="00271185"/>
    <w:rsid w:val="002731FD"/>
    <w:rsid w:val="00274D38"/>
    <w:rsid w:val="00276A82"/>
    <w:rsid w:val="00277799"/>
    <w:rsid w:val="00277FBF"/>
    <w:rsid w:val="00283975"/>
    <w:rsid w:val="00283BDE"/>
    <w:rsid w:val="00283EC7"/>
    <w:rsid w:val="002866C2"/>
    <w:rsid w:val="00286E47"/>
    <w:rsid w:val="002875ED"/>
    <w:rsid w:val="002904AC"/>
    <w:rsid w:val="00291D8C"/>
    <w:rsid w:val="002942EE"/>
    <w:rsid w:val="00294A71"/>
    <w:rsid w:val="0029680E"/>
    <w:rsid w:val="00297078"/>
    <w:rsid w:val="002A0C94"/>
    <w:rsid w:val="002A2311"/>
    <w:rsid w:val="002A31A0"/>
    <w:rsid w:val="002A3CA3"/>
    <w:rsid w:val="002A5CA2"/>
    <w:rsid w:val="002A65FD"/>
    <w:rsid w:val="002B0837"/>
    <w:rsid w:val="002B229D"/>
    <w:rsid w:val="002B5F3F"/>
    <w:rsid w:val="002B76CC"/>
    <w:rsid w:val="002C47E9"/>
    <w:rsid w:val="002C4A1F"/>
    <w:rsid w:val="002C6320"/>
    <w:rsid w:val="002C633F"/>
    <w:rsid w:val="002C7F86"/>
    <w:rsid w:val="002D00F5"/>
    <w:rsid w:val="002D014C"/>
    <w:rsid w:val="002D15C7"/>
    <w:rsid w:val="002D219E"/>
    <w:rsid w:val="002D22BE"/>
    <w:rsid w:val="002D42C5"/>
    <w:rsid w:val="002D769C"/>
    <w:rsid w:val="002D7A9B"/>
    <w:rsid w:val="002E012F"/>
    <w:rsid w:val="002E26E8"/>
    <w:rsid w:val="002E33F4"/>
    <w:rsid w:val="002E5F18"/>
    <w:rsid w:val="002E7267"/>
    <w:rsid w:val="002E7CE3"/>
    <w:rsid w:val="002E7EA0"/>
    <w:rsid w:val="002F0507"/>
    <w:rsid w:val="002F0B0A"/>
    <w:rsid w:val="002F0FA6"/>
    <w:rsid w:val="002F281D"/>
    <w:rsid w:val="002F2BAB"/>
    <w:rsid w:val="002F4CB3"/>
    <w:rsid w:val="002F4EB0"/>
    <w:rsid w:val="002F66F9"/>
    <w:rsid w:val="003073CD"/>
    <w:rsid w:val="003074C5"/>
    <w:rsid w:val="003141C1"/>
    <w:rsid w:val="00314203"/>
    <w:rsid w:val="00314813"/>
    <w:rsid w:val="00315AB7"/>
    <w:rsid w:val="0032060C"/>
    <w:rsid w:val="003206EE"/>
    <w:rsid w:val="003224F4"/>
    <w:rsid w:val="00323A11"/>
    <w:rsid w:val="00324466"/>
    <w:rsid w:val="00326FB1"/>
    <w:rsid w:val="003272C1"/>
    <w:rsid w:val="003308AC"/>
    <w:rsid w:val="00330F95"/>
    <w:rsid w:val="0033250D"/>
    <w:rsid w:val="00333BD5"/>
    <w:rsid w:val="0033519B"/>
    <w:rsid w:val="003354D0"/>
    <w:rsid w:val="003356CE"/>
    <w:rsid w:val="0033652A"/>
    <w:rsid w:val="00337E7D"/>
    <w:rsid w:val="0034212C"/>
    <w:rsid w:val="0034318B"/>
    <w:rsid w:val="00344955"/>
    <w:rsid w:val="0034691A"/>
    <w:rsid w:val="00350BCE"/>
    <w:rsid w:val="00351BA2"/>
    <w:rsid w:val="0035387F"/>
    <w:rsid w:val="003549CA"/>
    <w:rsid w:val="00360FBC"/>
    <w:rsid w:val="0036422D"/>
    <w:rsid w:val="00374B34"/>
    <w:rsid w:val="00380BAC"/>
    <w:rsid w:val="003843E5"/>
    <w:rsid w:val="0038489A"/>
    <w:rsid w:val="00387063"/>
    <w:rsid w:val="00393CC2"/>
    <w:rsid w:val="003A4ED4"/>
    <w:rsid w:val="003B017A"/>
    <w:rsid w:val="003B1EAD"/>
    <w:rsid w:val="003B43BE"/>
    <w:rsid w:val="003B6321"/>
    <w:rsid w:val="003B6B73"/>
    <w:rsid w:val="003C1027"/>
    <w:rsid w:val="003C1CF5"/>
    <w:rsid w:val="003C3895"/>
    <w:rsid w:val="003C7492"/>
    <w:rsid w:val="003D0FB9"/>
    <w:rsid w:val="003D10F8"/>
    <w:rsid w:val="003D189C"/>
    <w:rsid w:val="003D4FF9"/>
    <w:rsid w:val="003D6F35"/>
    <w:rsid w:val="003E4AC2"/>
    <w:rsid w:val="003E51C2"/>
    <w:rsid w:val="003E5DBD"/>
    <w:rsid w:val="003E7A9B"/>
    <w:rsid w:val="003E7F5D"/>
    <w:rsid w:val="003F1FF2"/>
    <w:rsid w:val="003F3A39"/>
    <w:rsid w:val="003F765D"/>
    <w:rsid w:val="00401913"/>
    <w:rsid w:val="00402BB2"/>
    <w:rsid w:val="00402FA8"/>
    <w:rsid w:val="00406F1D"/>
    <w:rsid w:val="00413956"/>
    <w:rsid w:val="00413CC0"/>
    <w:rsid w:val="004205EE"/>
    <w:rsid w:val="00422E59"/>
    <w:rsid w:val="00425B72"/>
    <w:rsid w:val="00426B2A"/>
    <w:rsid w:val="00427ABD"/>
    <w:rsid w:val="00430A5E"/>
    <w:rsid w:val="00430DD9"/>
    <w:rsid w:val="00432842"/>
    <w:rsid w:val="00436670"/>
    <w:rsid w:val="00436D43"/>
    <w:rsid w:val="00442128"/>
    <w:rsid w:val="00442F36"/>
    <w:rsid w:val="0044387A"/>
    <w:rsid w:val="00446929"/>
    <w:rsid w:val="00446F2A"/>
    <w:rsid w:val="00447142"/>
    <w:rsid w:val="004471B5"/>
    <w:rsid w:val="00447827"/>
    <w:rsid w:val="00447EC9"/>
    <w:rsid w:val="00452997"/>
    <w:rsid w:val="00457BE6"/>
    <w:rsid w:val="00460323"/>
    <w:rsid w:val="004608FB"/>
    <w:rsid w:val="00462D00"/>
    <w:rsid w:val="00463236"/>
    <w:rsid w:val="00463BE1"/>
    <w:rsid w:val="00464BA2"/>
    <w:rsid w:val="00465B73"/>
    <w:rsid w:val="00465BF7"/>
    <w:rsid w:val="00467888"/>
    <w:rsid w:val="004716D6"/>
    <w:rsid w:val="00474E6B"/>
    <w:rsid w:val="00476413"/>
    <w:rsid w:val="004810CF"/>
    <w:rsid w:val="00490609"/>
    <w:rsid w:val="004928BC"/>
    <w:rsid w:val="004932CF"/>
    <w:rsid w:val="00493C74"/>
    <w:rsid w:val="00494156"/>
    <w:rsid w:val="0049422F"/>
    <w:rsid w:val="00494877"/>
    <w:rsid w:val="004A0FCF"/>
    <w:rsid w:val="004A1E8D"/>
    <w:rsid w:val="004A23D4"/>
    <w:rsid w:val="004A3384"/>
    <w:rsid w:val="004A41C5"/>
    <w:rsid w:val="004A5B0D"/>
    <w:rsid w:val="004A6002"/>
    <w:rsid w:val="004B1658"/>
    <w:rsid w:val="004B542F"/>
    <w:rsid w:val="004B7607"/>
    <w:rsid w:val="004C00E0"/>
    <w:rsid w:val="004C2A91"/>
    <w:rsid w:val="004C4824"/>
    <w:rsid w:val="004C4A86"/>
    <w:rsid w:val="004C69D3"/>
    <w:rsid w:val="004C6FDC"/>
    <w:rsid w:val="004C7E3B"/>
    <w:rsid w:val="004D310E"/>
    <w:rsid w:val="004D3598"/>
    <w:rsid w:val="004D3844"/>
    <w:rsid w:val="004D5481"/>
    <w:rsid w:val="004D6214"/>
    <w:rsid w:val="004D638B"/>
    <w:rsid w:val="004D6EAE"/>
    <w:rsid w:val="004D7323"/>
    <w:rsid w:val="004E480C"/>
    <w:rsid w:val="004E5A4E"/>
    <w:rsid w:val="004F1A73"/>
    <w:rsid w:val="004F1BD3"/>
    <w:rsid w:val="004F1C04"/>
    <w:rsid w:val="004F4D45"/>
    <w:rsid w:val="004F6F6C"/>
    <w:rsid w:val="004F7171"/>
    <w:rsid w:val="004F7A78"/>
    <w:rsid w:val="00500DB2"/>
    <w:rsid w:val="00506A0E"/>
    <w:rsid w:val="00507198"/>
    <w:rsid w:val="0050771F"/>
    <w:rsid w:val="00507ABD"/>
    <w:rsid w:val="00515284"/>
    <w:rsid w:val="00515CEF"/>
    <w:rsid w:val="00526B20"/>
    <w:rsid w:val="00526B52"/>
    <w:rsid w:val="00532757"/>
    <w:rsid w:val="00532E6B"/>
    <w:rsid w:val="0053335D"/>
    <w:rsid w:val="00533708"/>
    <w:rsid w:val="00537042"/>
    <w:rsid w:val="00543CF7"/>
    <w:rsid w:val="00545355"/>
    <w:rsid w:val="00551638"/>
    <w:rsid w:val="00551C2C"/>
    <w:rsid w:val="00552029"/>
    <w:rsid w:val="00556E96"/>
    <w:rsid w:val="005571CB"/>
    <w:rsid w:val="00561981"/>
    <w:rsid w:val="005643AF"/>
    <w:rsid w:val="00571979"/>
    <w:rsid w:val="00572EF8"/>
    <w:rsid w:val="005735F7"/>
    <w:rsid w:val="00574865"/>
    <w:rsid w:val="00574C86"/>
    <w:rsid w:val="00575251"/>
    <w:rsid w:val="005773EF"/>
    <w:rsid w:val="005801A1"/>
    <w:rsid w:val="00580E51"/>
    <w:rsid w:val="00581549"/>
    <w:rsid w:val="00585EBF"/>
    <w:rsid w:val="005864C8"/>
    <w:rsid w:val="00597335"/>
    <w:rsid w:val="005A063B"/>
    <w:rsid w:val="005A0708"/>
    <w:rsid w:val="005A16AB"/>
    <w:rsid w:val="005A48E5"/>
    <w:rsid w:val="005A4915"/>
    <w:rsid w:val="005A6299"/>
    <w:rsid w:val="005A731C"/>
    <w:rsid w:val="005B5550"/>
    <w:rsid w:val="005B59E5"/>
    <w:rsid w:val="005C4A70"/>
    <w:rsid w:val="005D072C"/>
    <w:rsid w:val="005D0AC0"/>
    <w:rsid w:val="005D5B67"/>
    <w:rsid w:val="005D65D7"/>
    <w:rsid w:val="005D7A55"/>
    <w:rsid w:val="005D7E6A"/>
    <w:rsid w:val="005E2EB6"/>
    <w:rsid w:val="005F051B"/>
    <w:rsid w:val="005F3448"/>
    <w:rsid w:val="005F6773"/>
    <w:rsid w:val="00601C77"/>
    <w:rsid w:val="0060360D"/>
    <w:rsid w:val="00603C2F"/>
    <w:rsid w:val="006049BB"/>
    <w:rsid w:val="006067FB"/>
    <w:rsid w:val="00614774"/>
    <w:rsid w:val="0062068F"/>
    <w:rsid w:val="00623970"/>
    <w:rsid w:val="00633707"/>
    <w:rsid w:val="00633763"/>
    <w:rsid w:val="00634471"/>
    <w:rsid w:val="006350FA"/>
    <w:rsid w:val="006372FC"/>
    <w:rsid w:val="00637E7D"/>
    <w:rsid w:val="006411F5"/>
    <w:rsid w:val="00641820"/>
    <w:rsid w:val="00644906"/>
    <w:rsid w:val="00644B5B"/>
    <w:rsid w:val="0064548A"/>
    <w:rsid w:val="00646E6F"/>
    <w:rsid w:val="00647C71"/>
    <w:rsid w:val="00652254"/>
    <w:rsid w:val="0065438F"/>
    <w:rsid w:val="0065466D"/>
    <w:rsid w:val="006551CB"/>
    <w:rsid w:val="006554BE"/>
    <w:rsid w:val="00656B46"/>
    <w:rsid w:val="00664D9A"/>
    <w:rsid w:val="006737C6"/>
    <w:rsid w:val="00674755"/>
    <w:rsid w:val="0067596C"/>
    <w:rsid w:val="00677B20"/>
    <w:rsid w:val="00680187"/>
    <w:rsid w:val="00690EC6"/>
    <w:rsid w:val="0069125D"/>
    <w:rsid w:val="0069339D"/>
    <w:rsid w:val="00694039"/>
    <w:rsid w:val="006949C2"/>
    <w:rsid w:val="00695554"/>
    <w:rsid w:val="0069665E"/>
    <w:rsid w:val="006A0F4F"/>
    <w:rsid w:val="006A1943"/>
    <w:rsid w:val="006A1A45"/>
    <w:rsid w:val="006A30E0"/>
    <w:rsid w:val="006A3627"/>
    <w:rsid w:val="006A41AB"/>
    <w:rsid w:val="006A6BBA"/>
    <w:rsid w:val="006B0CE6"/>
    <w:rsid w:val="006B1FC6"/>
    <w:rsid w:val="006B2BBA"/>
    <w:rsid w:val="006B77D9"/>
    <w:rsid w:val="006C0156"/>
    <w:rsid w:val="006C15A9"/>
    <w:rsid w:val="006C3080"/>
    <w:rsid w:val="006C3DC6"/>
    <w:rsid w:val="006C42CE"/>
    <w:rsid w:val="006C7417"/>
    <w:rsid w:val="006D01B8"/>
    <w:rsid w:val="006D089D"/>
    <w:rsid w:val="006D2DF5"/>
    <w:rsid w:val="006D7288"/>
    <w:rsid w:val="006E15FA"/>
    <w:rsid w:val="006E2FA5"/>
    <w:rsid w:val="006E3BCD"/>
    <w:rsid w:val="006E4F22"/>
    <w:rsid w:val="006E6066"/>
    <w:rsid w:val="006E7387"/>
    <w:rsid w:val="006F1957"/>
    <w:rsid w:val="006F1F0C"/>
    <w:rsid w:val="00700175"/>
    <w:rsid w:val="00706665"/>
    <w:rsid w:val="00710B76"/>
    <w:rsid w:val="007130D0"/>
    <w:rsid w:val="007260CF"/>
    <w:rsid w:val="00727C43"/>
    <w:rsid w:val="00732289"/>
    <w:rsid w:val="00733119"/>
    <w:rsid w:val="007357F7"/>
    <w:rsid w:val="007367DC"/>
    <w:rsid w:val="00736F11"/>
    <w:rsid w:val="00740057"/>
    <w:rsid w:val="00743352"/>
    <w:rsid w:val="007470C3"/>
    <w:rsid w:val="0075145B"/>
    <w:rsid w:val="00754414"/>
    <w:rsid w:val="00755422"/>
    <w:rsid w:val="00755ADA"/>
    <w:rsid w:val="00756945"/>
    <w:rsid w:val="00756C21"/>
    <w:rsid w:val="00756C3A"/>
    <w:rsid w:val="00764079"/>
    <w:rsid w:val="00765D85"/>
    <w:rsid w:val="00766920"/>
    <w:rsid w:val="00775AA8"/>
    <w:rsid w:val="007765D9"/>
    <w:rsid w:val="00776D1B"/>
    <w:rsid w:val="007820BC"/>
    <w:rsid w:val="00792327"/>
    <w:rsid w:val="00793162"/>
    <w:rsid w:val="0079389E"/>
    <w:rsid w:val="007959E0"/>
    <w:rsid w:val="007A223A"/>
    <w:rsid w:val="007A4B33"/>
    <w:rsid w:val="007A4DDF"/>
    <w:rsid w:val="007B0B50"/>
    <w:rsid w:val="007B23C3"/>
    <w:rsid w:val="007B31CC"/>
    <w:rsid w:val="007B3E3C"/>
    <w:rsid w:val="007B4E75"/>
    <w:rsid w:val="007B6EDB"/>
    <w:rsid w:val="007C525C"/>
    <w:rsid w:val="007C5480"/>
    <w:rsid w:val="007D1391"/>
    <w:rsid w:val="007D44D8"/>
    <w:rsid w:val="007D62B3"/>
    <w:rsid w:val="007E755F"/>
    <w:rsid w:val="007E7B19"/>
    <w:rsid w:val="007E7EC1"/>
    <w:rsid w:val="007F01F3"/>
    <w:rsid w:val="007F39B6"/>
    <w:rsid w:val="007F5575"/>
    <w:rsid w:val="007F64CD"/>
    <w:rsid w:val="007F7BAE"/>
    <w:rsid w:val="0080028F"/>
    <w:rsid w:val="00805C45"/>
    <w:rsid w:val="00806070"/>
    <w:rsid w:val="0080610E"/>
    <w:rsid w:val="00816479"/>
    <w:rsid w:val="0081727E"/>
    <w:rsid w:val="00817D15"/>
    <w:rsid w:val="00817DDC"/>
    <w:rsid w:val="00822820"/>
    <w:rsid w:val="00823370"/>
    <w:rsid w:val="00823FC8"/>
    <w:rsid w:val="00825FFC"/>
    <w:rsid w:val="00826B07"/>
    <w:rsid w:val="00831D51"/>
    <w:rsid w:val="00834484"/>
    <w:rsid w:val="008355F2"/>
    <w:rsid w:val="00835909"/>
    <w:rsid w:val="008359DC"/>
    <w:rsid w:val="00837B2E"/>
    <w:rsid w:val="00847157"/>
    <w:rsid w:val="0085193C"/>
    <w:rsid w:val="00855D80"/>
    <w:rsid w:val="00856BD3"/>
    <w:rsid w:val="00857610"/>
    <w:rsid w:val="008617C7"/>
    <w:rsid w:val="0086332F"/>
    <w:rsid w:val="008636D3"/>
    <w:rsid w:val="008655E1"/>
    <w:rsid w:val="00865AED"/>
    <w:rsid w:val="008728F3"/>
    <w:rsid w:val="00872A66"/>
    <w:rsid w:val="00876A7B"/>
    <w:rsid w:val="00877027"/>
    <w:rsid w:val="00877707"/>
    <w:rsid w:val="00880C3A"/>
    <w:rsid w:val="008818B2"/>
    <w:rsid w:val="00884CE2"/>
    <w:rsid w:val="0088634B"/>
    <w:rsid w:val="0088777A"/>
    <w:rsid w:val="008878A7"/>
    <w:rsid w:val="0089037D"/>
    <w:rsid w:val="00890CF8"/>
    <w:rsid w:val="008917E7"/>
    <w:rsid w:val="00891B83"/>
    <w:rsid w:val="008942EE"/>
    <w:rsid w:val="00896AD8"/>
    <w:rsid w:val="008A0ABC"/>
    <w:rsid w:val="008A0F3D"/>
    <w:rsid w:val="008A21A3"/>
    <w:rsid w:val="008A3EE9"/>
    <w:rsid w:val="008A506F"/>
    <w:rsid w:val="008A528E"/>
    <w:rsid w:val="008B608A"/>
    <w:rsid w:val="008B644F"/>
    <w:rsid w:val="008B6E64"/>
    <w:rsid w:val="008B72C4"/>
    <w:rsid w:val="008B7DBE"/>
    <w:rsid w:val="008C1A72"/>
    <w:rsid w:val="008C6E93"/>
    <w:rsid w:val="008D376F"/>
    <w:rsid w:val="008D387D"/>
    <w:rsid w:val="008E07A0"/>
    <w:rsid w:val="008E1E96"/>
    <w:rsid w:val="008E32E1"/>
    <w:rsid w:val="008E7CB2"/>
    <w:rsid w:val="008F5024"/>
    <w:rsid w:val="0090038D"/>
    <w:rsid w:val="00901A67"/>
    <w:rsid w:val="00901E30"/>
    <w:rsid w:val="00903701"/>
    <w:rsid w:val="009044BC"/>
    <w:rsid w:val="009047D6"/>
    <w:rsid w:val="009141FA"/>
    <w:rsid w:val="00914A0E"/>
    <w:rsid w:val="00915086"/>
    <w:rsid w:val="00920F98"/>
    <w:rsid w:val="009239E1"/>
    <w:rsid w:val="009254CB"/>
    <w:rsid w:val="00930DAA"/>
    <w:rsid w:val="00931CDF"/>
    <w:rsid w:val="00931FEE"/>
    <w:rsid w:val="00933DFD"/>
    <w:rsid w:val="009340CB"/>
    <w:rsid w:val="009372E1"/>
    <w:rsid w:val="009379E3"/>
    <w:rsid w:val="00942DAD"/>
    <w:rsid w:val="009502CA"/>
    <w:rsid w:val="009525BF"/>
    <w:rsid w:val="00952B56"/>
    <w:rsid w:val="00952FD8"/>
    <w:rsid w:val="00952FF8"/>
    <w:rsid w:val="009551F0"/>
    <w:rsid w:val="00960FA1"/>
    <w:rsid w:val="00962110"/>
    <w:rsid w:val="0096374F"/>
    <w:rsid w:val="009665B3"/>
    <w:rsid w:val="00972924"/>
    <w:rsid w:val="0097353D"/>
    <w:rsid w:val="00973DCA"/>
    <w:rsid w:val="00974613"/>
    <w:rsid w:val="00975239"/>
    <w:rsid w:val="00976650"/>
    <w:rsid w:val="00977C2B"/>
    <w:rsid w:val="00977E5D"/>
    <w:rsid w:val="00980120"/>
    <w:rsid w:val="00984452"/>
    <w:rsid w:val="00986420"/>
    <w:rsid w:val="00986797"/>
    <w:rsid w:val="00986E81"/>
    <w:rsid w:val="00987A87"/>
    <w:rsid w:val="00996913"/>
    <w:rsid w:val="00997950"/>
    <w:rsid w:val="009A10E3"/>
    <w:rsid w:val="009A30F9"/>
    <w:rsid w:val="009A6DF0"/>
    <w:rsid w:val="009B4830"/>
    <w:rsid w:val="009B4BBA"/>
    <w:rsid w:val="009B6A65"/>
    <w:rsid w:val="009B6CAD"/>
    <w:rsid w:val="009B7EB7"/>
    <w:rsid w:val="009C1FC1"/>
    <w:rsid w:val="009C57FF"/>
    <w:rsid w:val="009D210F"/>
    <w:rsid w:val="009D290E"/>
    <w:rsid w:val="009D4BBC"/>
    <w:rsid w:val="009D6A10"/>
    <w:rsid w:val="009F1C01"/>
    <w:rsid w:val="00A02009"/>
    <w:rsid w:val="00A04871"/>
    <w:rsid w:val="00A1352B"/>
    <w:rsid w:val="00A16CAD"/>
    <w:rsid w:val="00A20480"/>
    <w:rsid w:val="00A24339"/>
    <w:rsid w:val="00A258BF"/>
    <w:rsid w:val="00A27B34"/>
    <w:rsid w:val="00A33898"/>
    <w:rsid w:val="00A36288"/>
    <w:rsid w:val="00A363E8"/>
    <w:rsid w:val="00A36D72"/>
    <w:rsid w:val="00A37BAB"/>
    <w:rsid w:val="00A4028B"/>
    <w:rsid w:val="00A41E71"/>
    <w:rsid w:val="00A45EFF"/>
    <w:rsid w:val="00A535FE"/>
    <w:rsid w:val="00A549E0"/>
    <w:rsid w:val="00A57A81"/>
    <w:rsid w:val="00A6446B"/>
    <w:rsid w:val="00A669A9"/>
    <w:rsid w:val="00A66A61"/>
    <w:rsid w:val="00A73445"/>
    <w:rsid w:val="00A75B82"/>
    <w:rsid w:val="00A8012B"/>
    <w:rsid w:val="00A8081B"/>
    <w:rsid w:val="00A81DB1"/>
    <w:rsid w:val="00A91776"/>
    <w:rsid w:val="00A92B71"/>
    <w:rsid w:val="00A94855"/>
    <w:rsid w:val="00A973E7"/>
    <w:rsid w:val="00AA2A56"/>
    <w:rsid w:val="00AA2D9E"/>
    <w:rsid w:val="00AA54EE"/>
    <w:rsid w:val="00AA7E6E"/>
    <w:rsid w:val="00AB02C1"/>
    <w:rsid w:val="00AB0E73"/>
    <w:rsid w:val="00AB5920"/>
    <w:rsid w:val="00AB6059"/>
    <w:rsid w:val="00AC1F29"/>
    <w:rsid w:val="00AC28A8"/>
    <w:rsid w:val="00AC4D7C"/>
    <w:rsid w:val="00AC7BE8"/>
    <w:rsid w:val="00AD17CE"/>
    <w:rsid w:val="00AD2648"/>
    <w:rsid w:val="00AD3383"/>
    <w:rsid w:val="00AD38CB"/>
    <w:rsid w:val="00AD3DA0"/>
    <w:rsid w:val="00AD491F"/>
    <w:rsid w:val="00AD5BF7"/>
    <w:rsid w:val="00AD6112"/>
    <w:rsid w:val="00AD63C4"/>
    <w:rsid w:val="00AE4A1A"/>
    <w:rsid w:val="00AE6EB5"/>
    <w:rsid w:val="00AE767D"/>
    <w:rsid w:val="00AF4154"/>
    <w:rsid w:val="00AF4738"/>
    <w:rsid w:val="00AF582F"/>
    <w:rsid w:val="00AF6F4E"/>
    <w:rsid w:val="00B00188"/>
    <w:rsid w:val="00B03D6C"/>
    <w:rsid w:val="00B041CF"/>
    <w:rsid w:val="00B04395"/>
    <w:rsid w:val="00B1392F"/>
    <w:rsid w:val="00B14310"/>
    <w:rsid w:val="00B1481C"/>
    <w:rsid w:val="00B158FE"/>
    <w:rsid w:val="00B205D7"/>
    <w:rsid w:val="00B20937"/>
    <w:rsid w:val="00B2393E"/>
    <w:rsid w:val="00B23B26"/>
    <w:rsid w:val="00B23C80"/>
    <w:rsid w:val="00B3002D"/>
    <w:rsid w:val="00B316D4"/>
    <w:rsid w:val="00B320D7"/>
    <w:rsid w:val="00B322B2"/>
    <w:rsid w:val="00B3375F"/>
    <w:rsid w:val="00B33BB3"/>
    <w:rsid w:val="00B33FB6"/>
    <w:rsid w:val="00B378EA"/>
    <w:rsid w:val="00B439BF"/>
    <w:rsid w:val="00B44C03"/>
    <w:rsid w:val="00B47F7D"/>
    <w:rsid w:val="00B5049F"/>
    <w:rsid w:val="00B506B9"/>
    <w:rsid w:val="00B50FDE"/>
    <w:rsid w:val="00B52558"/>
    <w:rsid w:val="00B529D0"/>
    <w:rsid w:val="00B533A2"/>
    <w:rsid w:val="00B56896"/>
    <w:rsid w:val="00B57320"/>
    <w:rsid w:val="00B62D9F"/>
    <w:rsid w:val="00B6473D"/>
    <w:rsid w:val="00B65337"/>
    <w:rsid w:val="00B66C92"/>
    <w:rsid w:val="00B66EDA"/>
    <w:rsid w:val="00B7374F"/>
    <w:rsid w:val="00B75D45"/>
    <w:rsid w:val="00B802CA"/>
    <w:rsid w:val="00B80DF4"/>
    <w:rsid w:val="00B8614A"/>
    <w:rsid w:val="00BA2077"/>
    <w:rsid w:val="00BA2B3B"/>
    <w:rsid w:val="00BA4165"/>
    <w:rsid w:val="00BA422F"/>
    <w:rsid w:val="00BA638B"/>
    <w:rsid w:val="00BA7276"/>
    <w:rsid w:val="00BB0434"/>
    <w:rsid w:val="00BB21C1"/>
    <w:rsid w:val="00BB4072"/>
    <w:rsid w:val="00BB5AE7"/>
    <w:rsid w:val="00BB7DF6"/>
    <w:rsid w:val="00BC1519"/>
    <w:rsid w:val="00BC3504"/>
    <w:rsid w:val="00BC4000"/>
    <w:rsid w:val="00BC4995"/>
    <w:rsid w:val="00BC712B"/>
    <w:rsid w:val="00BD681A"/>
    <w:rsid w:val="00BD7677"/>
    <w:rsid w:val="00BE374E"/>
    <w:rsid w:val="00BE3A17"/>
    <w:rsid w:val="00BE3DF1"/>
    <w:rsid w:val="00BE4226"/>
    <w:rsid w:val="00BE47C3"/>
    <w:rsid w:val="00BE4AF8"/>
    <w:rsid w:val="00BE5113"/>
    <w:rsid w:val="00BF02BE"/>
    <w:rsid w:val="00BF3839"/>
    <w:rsid w:val="00BF3886"/>
    <w:rsid w:val="00BF4CA0"/>
    <w:rsid w:val="00BF5F4A"/>
    <w:rsid w:val="00BF62D0"/>
    <w:rsid w:val="00C02806"/>
    <w:rsid w:val="00C03B12"/>
    <w:rsid w:val="00C04CF8"/>
    <w:rsid w:val="00C04E14"/>
    <w:rsid w:val="00C0501E"/>
    <w:rsid w:val="00C101AE"/>
    <w:rsid w:val="00C11006"/>
    <w:rsid w:val="00C14582"/>
    <w:rsid w:val="00C161AB"/>
    <w:rsid w:val="00C2172A"/>
    <w:rsid w:val="00C222A3"/>
    <w:rsid w:val="00C23D03"/>
    <w:rsid w:val="00C240A1"/>
    <w:rsid w:val="00C25C61"/>
    <w:rsid w:val="00C27B29"/>
    <w:rsid w:val="00C3075B"/>
    <w:rsid w:val="00C3093C"/>
    <w:rsid w:val="00C31D1E"/>
    <w:rsid w:val="00C3250F"/>
    <w:rsid w:val="00C37D2A"/>
    <w:rsid w:val="00C42A21"/>
    <w:rsid w:val="00C4464A"/>
    <w:rsid w:val="00C501CE"/>
    <w:rsid w:val="00C52B7E"/>
    <w:rsid w:val="00C5736D"/>
    <w:rsid w:val="00C57A2A"/>
    <w:rsid w:val="00C603A2"/>
    <w:rsid w:val="00C6083D"/>
    <w:rsid w:val="00C61B22"/>
    <w:rsid w:val="00C63CDA"/>
    <w:rsid w:val="00C65AB8"/>
    <w:rsid w:val="00C66968"/>
    <w:rsid w:val="00C7612C"/>
    <w:rsid w:val="00C76A98"/>
    <w:rsid w:val="00C804EA"/>
    <w:rsid w:val="00C81A93"/>
    <w:rsid w:val="00C83DC9"/>
    <w:rsid w:val="00C91B87"/>
    <w:rsid w:val="00C93487"/>
    <w:rsid w:val="00C95FC0"/>
    <w:rsid w:val="00CA24BA"/>
    <w:rsid w:val="00CA3206"/>
    <w:rsid w:val="00CA6F8A"/>
    <w:rsid w:val="00CB04E1"/>
    <w:rsid w:val="00CB1FCE"/>
    <w:rsid w:val="00CB3ABD"/>
    <w:rsid w:val="00CB5AAC"/>
    <w:rsid w:val="00CB5D51"/>
    <w:rsid w:val="00CD072C"/>
    <w:rsid w:val="00CD15E7"/>
    <w:rsid w:val="00CD3A51"/>
    <w:rsid w:val="00CE0092"/>
    <w:rsid w:val="00CE0FC9"/>
    <w:rsid w:val="00CE1166"/>
    <w:rsid w:val="00CE30FA"/>
    <w:rsid w:val="00CE3D98"/>
    <w:rsid w:val="00CE4D03"/>
    <w:rsid w:val="00CE5FD8"/>
    <w:rsid w:val="00CE7D72"/>
    <w:rsid w:val="00CF257F"/>
    <w:rsid w:val="00CF334D"/>
    <w:rsid w:val="00CF4C01"/>
    <w:rsid w:val="00CF6EE8"/>
    <w:rsid w:val="00CF7E27"/>
    <w:rsid w:val="00D01DE1"/>
    <w:rsid w:val="00D022EB"/>
    <w:rsid w:val="00D029AB"/>
    <w:rsid w:val="00D0584C"/>
    <w:rsid w:val="00D1149F"/>
    <w:rsid w:val="00D13D7C"/>
    <w:rsid w:val="00D14050"/>
    <w:rsid w:val="00D14FBB"/>
    <w:rsid w:val="00D15DF9"/>
    <w:rsid w:val="00D1755C"/>
    <w:rsid w:val="00D17747"/>
    <w:rsid w:val="00D21026"/>
    <w:rsid w:val="00D227FE"/>
    <w:rsid w:val="00D22A58"/>
    <w:rsid w:val="00D22BC8"/>
    <w:rsid w:val="00D23816"/>
    <w:rsid w:val="00D24F2D"/>
    <w:rsid w:val="00D26495"/>
    <w:rsid w:val="00D26F91"/>
    <w:rsid w:val="00D303FA"/>
    <w:rsid w:val="00D30471"/>
    <w:rsid w:val="00D32357"/>
    <w:rsid w:val="00D33CD1"/>
    <w:rsid w:val="00D35A22"/>
    <w:rsid w:val="00D3648F"/>
    <w:rsid w:val="00D3694D"/>
    <w:rsid w:val="00D53CA2"/>
    <w:rsid w:val="00D545FA"/>
    <w:rsid w:val="00D55898"/>
    <w:rsid w:val="00D570AF"/>
    <w:rsid w:val="00D57336"/>
    <w:rsid w:val="00D636CA"/>
    <w:rsid w:val="00D63BF1"/>
    <w:rsid w:val="00D702E1"/>
    <w:rsid w:val="00D712BF"/>
    <w:rsid w:val="00D73059"/>
    <w:rsid w:val="00D749D2"/>
    <w:rsid w:val="00D75065"/>
    <w:rsid w:val="00D81DB4"/>
    <w:rsid w:val="00D8510A"/>
    <w:rsid w:val="00D853ED"/>
    <w:rsid w:val="00D87CA9"/>
    <w:rsid w:val="00D920C5"/>
    <w:rsid w:val="00D94A91"/>
    <w:rsid w:val="00D9562F"/>
    <w:rsid w:val="00DA1E62"/>
    <w:rsid w:val="00DA1F51"/>
    <w:rsid w:val="00DA2629"/>
    <w:rsid w:val="00DA40FF"/>
    <w:rsid w:val="00DA58E9"/>
    <w:rsid w:val="00DA6599"/>
    <w:rsid w:val="00DB037F"/>
    <w:rsid w:val="00DB1C1F"/>
    <w:rsid w:val="00DB3679"/>
    <w:rsid w:val="00DB4B7D"/>
    <w:rsid w:val="00DB6481"/>
    <w:rsid w:val="00DB64FD"/>
    <w:rsid w:val="00DC10F9"/>
    <w:rsid w:val="00DC1AB1"/>
    <w:rsid w:val="00DC35F2"/>
    <w:rsid w:val="00DD42B4"/>
    <w:rsid w:val="00DD4AE0"/>
    <w:rsid w:val="00DD616B"/>
    <w:rsid w:val="00DF0D30"/>
    <w:rsid w:val="00DF48AF"/>
    <w:rsid w:val="00DF718B"/>
    <w:rsid w:val="00DF7D6F"/>
    <w:rsid w:val="00E00337"/>
    <w:rsid w:val="00E024E5"/>
    <w:rsid w:val="00E05298"/>
    <w:rsid w:val="00E06493"/>
    <w:rsid w:val="00E06921"/>
    <w:rsid w:val="00E06FA4"/>
    <w:rsid w:val="00E07FB8"/>
    <w:rsid w:val="00E10178"/>
    <w:rsid w:val="00E151B9"/>
    <w:rsid w:val="00E1556E"/>
    <w:rsid w:val="00E17378"/>
    <w:rsid w:val="00E20125"/>
    <w:rsid w:val="00E22A78"/>
    <w:rsid w:val="00E25D6F"/>
    <w:rsid w:val="00E30814"/>
    <w:rsid w:val="00E3770A"/>
    <w:rsid w:val="00E413E6"/>
    <w:rsid w:val="00E43043"/>
    <w:rsid w:val="00E4601E"/>
    <w:rsid w:val="00E461E0"/>
    <w:rsid w:val="00E47AA0"/>
    <w:rsid w:val="00E52A63"/>
    <w:rsid w:val="00E52F7B"/>
    <w:rsid w:val="00E53C02"/>
    <w:rsid w:val="00E55881"/>
    <w:rsid w:val="00E5660F"/>
    <w:rsid w:val="00E61DA7"/>
    <w:rsid w:val="00E63118"/>
    <w:rsid w:val="00E7442D"/>
    <w:rsid w:val="00E8148B"/>
    <w:rsid w:val="00E85567"/>
    <w:rsid w:val="00E87B66"/>
    <w:rsid w:val="00E921AA"/>
    <w:rsid w:val="00E92C57"/>
    <w:rsid w:val="00E934CA"/>
    <w:rsid w:val="00E95174"/>
    <w:rsid w:val="00E97CF3"/>
    <w:rsid w:val="00EA13A6"/>
    <w:rsid w:val="00EA3371"/>
    <w:rsid w:val="00EA4A96"/>
    <w:rsid w:val="00EA6155"/>
    <w:rsid w:val="00EB1DC1"/>
    <w:rsid w:val="00EB2057"/>
    <w:rsid w:val="00EB2A54"/>
    <w:rsid w:val="00EB48D5"/>
    <w:rsid w:val="00EB587F"/>
    <w:rsid w:val="00EB744F"/>
    <w:rsid w:val="00EB7AC5"/>
    <w:rsid w:val="00EC2302"/>
    <w:rsid w:val="00ED05A4"/>
    <w:rsid w:val="00ED0C8A"/>
    <w:rsid w:val="00ED32F6"/>
    <w:rsid w:val="00ED3AC4"/>
    <w:rsid w:val="00ED4A8E"/>
    <w:rsid w:val="00ED5CA9"/>
    <w:rsid w:val="00ED605F"/>
    <w:rsid w:val="00ED7B09"/>
    <w:rsid w:val="00ED7C01"/>
    <w:rsid w:val="00EE7703"/>
    <w:rsid w:val="00EF0808"/>
    <w:rsid w:val="00EF2CDA"/>
    <w:rsid w:val="00EF2D66"/>
    <w:rsid w:val="00EF54C0"/>
    <w:rsid w:val="00EF7B8A"/>
    <w:rsid w:val="00F0130E"/>
    <w:rsid w:val="00F11181"/>
    <w:rsid w:val="00F14FE8"/>
    <w:rsid w:val="00F15218"/>
    <w:rsid w:val="00F15FA6"/>
    <w:rsid w:val="00F211AF"/>
    <w:rsid w:val="00F21954"/>
    <w:rsid w:val="00F221B2"/>
    <w:rsid w:val="00F257C9"/>
    <w:rsid w:val="00F26BB2"/>
    <w:rsid w:val="00F27D9E"/>
    <w:rsid w:val="00F31A84"/>
    <w:rsid w:val="00F3532D"/>
    <w:rsid w:val="00F3675C"/>
    <w:rsid w:val="00F453C0"/>
    <w:rsid w:val="00F4573E"/>
    <w:rsid w:val="00F47B13"/>
    <w:rsid w:val="00F501E5"/>
    <w:rsid w:val="00F50F4F"/>
    <w:rsid w:val="00F51F91"/>
    <w:rsid w:val="00F65489"/>
    <w:rsid w:val="00F6571F"/>
    <w:rsid w:val="00F67017"/>
    <w:rsid w:val="00F67C46"/>
    <w:rsid w:val="00F72081"/>
    <w:rsid w:val="00F74549"/>
    <w:rsid w:val="00F74848"/>
    <w:rsid w:val="00F76B07"/>
    <w:rsid w:val="00F82A82"/>
    <w:rsid w:val="00F82C30"/>
    <w:rsid w:val="00F841E0"/>
    <w:rsid w:val="00F855A9"/>
    <w:rsid w:val="00F93027"/>
    <w:rsid w:val="00F930E6"/>
    <w:rsid w:val="00F94146"/>
    <w:rsid w:val="00F96D30"/>
    <w:rsid w:val="00F9764C"/>
    <w:rsid w:val="00FA1E21"/>
    <w:rsid w:val="00FA220F"/>
    <w:rsid w:val="00FA44B5"/>
    <w:rsid w:val="00FA51D3"/>
    <w:rsid w:val="00FB0D30"/>
    <w:rsid w:val="00FB2786"/>
    <w:rsid w:val="00FB2A0C"/>
    <w:rsid w:val="00FB4833"/>
    <w:rsid w:val="00FB4B57"/>
    <w:rsid w:val="00FB61D6"/>
    <w:rsid w:val="00FB7550"/>
    <w:rsid w:val="00FC2CAD"/>
    <w:rsid w:val="00FC49D1"/>
    <w:rsid w:val="00FD10DB"/>
    <w:rsid w:val="00FD10FC"/>
    <w:rsid w:val="00FD14C7"/>
    <w:rsid w:val="00FD286E"/>
    <w:rsid w:val="00FD4EEE"/>
    <w:rsid w:val="00FD5467"/>
    <w:rsid w:val="00FD63F5"/>
    <w:rsid w:val="00FD658D"/>
    <w:rsid w:val="00FD6BE1"/>
    <w:rsid w:val="00FE2698"/>
    <w:rsid w:val="00FE2D36"/>
    <w:rsid w:val="00FE3005"/>
    <w:rsid w:val="00FF3E41"/>
    <w:rsid w:val="00FF4D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801"/>
    <o:shapelayout v:ext="edit">
      <o:idmap v:ext="edit" data="1"/>
    </o:shapelayout>
  </w:shapeDefaults>
  <w:decimalSymbol w:val="."/>
  <w:listSeparator w:val=","/>
  <w14:docId w14:val="1BEBD0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4"/>
        <w:lang w:val="en-US" w:eastAsia="en-US" w:bidi="ar-SA"/>
      </w:rPr>
    </w:rPrDefault>
    <w:pPrDefault>
      <w:pPr>
        <w:spacing w:after="24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footnote text" w:uiPriority="0" w:qFormat="1"/>
    <w:lsdException w:name="header" w:uiPriority="0"/>
    <w:lsdException w:name="footer" w:uiPriority="0"/>
    <w:lsdException w:name="caption" w:qFormat="1"/>
    <w:lsdException w:name="footnote reference" w:uiPriority="0"/>
    <w:lsdException w:name="Title" w:semiHidden="0" w:unhideWhenUsed="0" w:qFormat="1"/>
    <w:lsdException w:name="Default Paragraph Font" w:uiPriority="1"/>
    <w:lsdException w:name="Subtitle" w:qFormat="1"/>
    <w:lsdException w:name="Strong" w:semiHidden="0" w:unhideWhenUsed="0" w:qFormat="1"/>
    <w:lsdException w:name="Emphasis" w:semiHidden="0" w:unhideWhenUsed="0" w:qFormat="1"/>
    <w:lsdException w:name="Table Grid" w:semiHidden="0" w:uiPriority="59" w:unhideWhenUsed="0"/>
    <w:lsdException w:name="No Spacing"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TOC Heading" w:qFormat="1"/>
  </w:latentStyles>
  <w:style w:type="paragraph" w:default="1" w:styleId="Normal">
    <w:name w:val="Normal"/>
    <w:qFormat/>
    <w:rsid w:val="00D24F2D"/>
    <w:pPr>
      <w:jc w:val="both"/>
    </w:pPr>
  </w:style>
  <w:style w:type="paragraph" w:styleId="Heading1">
    <w:name w:val="heading 1"/>
    <w:basedOn w:val="Normal"/>
    <w:next w:val="BodyText"/>
    <w:link w:val="Heading1Char"/>
    <w:uiPriority w:val="99"/>
    <w:unhideWhenUsed/>
    <w:qFormat/>
    <w:rsid w:val="003074C5"/>
    <w:pPr>
      <w:keepNext/>
      <w:keepLines/>
      <w:numPr>
        <w:numId w:val="21"/>
      </w:numPr>
      <w:tabs>
        <w:tab w:val="clear" w:pos="0"/>
      </w:tabs>
      <w:spacing w:after="180"/>
      <w:jc w:val="center"/>
      <w:outlineLvl w:val="0"/>
    </w:pPr>
    <w:rPr>
      <w:rFonts w:ascii="Times New Roman Bold" w:eastAsiaTheme="majorEastAsia" w:hAnsi="Times New Roman Bold" w:cstheme="majorBidi"/>
      <w:b/>
      <w:bCs/>
      <w:caps/>
      <w:color w:val="000000"/>
      <w:szCs w:val="28"/>
    </w:rPr>
  </w:style>
  <w:style w:type="paragraph" w:styleId="Heading2">
    <w:name w:val="heading 2"/>
    <w:basedOn w:val="Normal"/>
    <w:next w:val="BodyText"/>
    <w:link w:val="Heading2Char"/>
    <w:uiPriority w:val="99"/>
    <w:unhideWhenUsed/>
    <w:qFormat/>
    <w:rsid w:val="003074C5"/>
    <w:pPr>
      <w:keepNext/>
      <w:keepLines/>
      <w:numPr>
        <w:ilvl w:val="1"/>
        <w:numId w:val="21"/>
      </w:numPr>
      <w:tabs>
        <w:tab w:val="clear" w:pos="0"/>
      </w:tabs>
      <w:spacing w:after="180"/>
      <w:outlineLvl w:val="1"/>
    </w:pPr>
    <w:rPr>
      <w:rFonts w:eastAsiaTheme="majorEastAsia" w:cstheme="majorBidi"/>
      <w:b/>
      <w:bCs/>
      <w:color w:val="000000"/>
      <w:szCs w:val="26"/>
    </w:rPr>
  </w:style>
  <w:style w:type="paragraph" w:styleId="Heading3">
    <w:name w:val="heading 3"/>
    <w:basedOn w:val="Normal"/>
    <w:next w:val="BodyText"/>
    <w:link w:val="Heading3Char"/>
    <w:uiPriority w:val="99"/>
    <w:unhideWhenUsed/>
    <w:qFormat/>
    <w:rsid w:val="003074C5"/>
    <w:pPr>
      <w:keepNext/>
      <w:keepLines/>
      <w:numPr>
        <w:ilvl w:val="2"/>
        <w:numId w:val="21"/>
      </w:numPr>
      <w:tabs>
        <w:tab w:val="clear" w:pos="0"/>
      </w:tabs>
      <w:spacing w:after="180"/>
      <w:outlineLvl w:val="2"/>
    </w:pPr>
    <w:rPr>
      <w:rFonts w:eastAsiaTheme="majorEastAsia" w:cstheme="majorBidi"/>
      <w:b/>
      <w:bCs/>
      <w:i/>
      <w:color w:val="000000"/>
    </w:rPr>
  </w:style>
  <w:style w:type="paragraph" w:styleId="Heading4">
    <w:name w:val="heading 4"/>
    <w:basedOn w:val="Normal"/>
    <w:next w:val="BodyText"/>
    <w:link w:val="Heading4Char"/>
    <w:uiPriority w:val="99"/>
    <w:unhideWhenUsed/>
    <w:qFormat/>
    <w:rsid w:val="003074C5"/>
    <w:pPr>
      <w:keepNext/>
      <w:keepLines/>
      <w:numPr>
        <w:ilvl w:val="3"/>
        <w:numId w:val="21"/>
      </w:numPr>
      <w:tabs>
        <w:tab w:val="clear" w:pos="0"/>
      </w:tabs>
      <w:outlineLvl w:val="3"/>
    </w:pPr>
    <w:rPr>
      <w:rFonts w:eastAsiaTheme="majorEastAsia" w:cstheme="majorBidi"/>
      <w:bCs/>
      <w:iCs/>
      <w:color w:val="000000"/>
    </w:rPr>
  </w:style>
  <w:style w:type="paragraph" w:styleId="Heading5">
    <w:name w:val="heading 5"/>
    <w:basedOn w:val="Normal"/>
    <w:next w:val="BodyText"/>
    <w:link w:val="Heading5Char"/>
    <w:uiPriority w:val="99"/>
    <w:unhideWhenUsed/>
    <w:qFormat/>
    <w:rsid w:val="003074C5"/>
    <w:pPr>
      <w:keepNext/>
      <w:keepLines/>
      <w:numPr>
        <w:ilvl w:val="4"/>
        <w:numId w:val="21"/>
      </w:numPr>
      <w:tabs>
        <w:tab w:val="clear" w:pos="0"/>
      </w:tabs>
      <w:outlineLvl w:val="4"/>
    </w:pPr>
    <w:rPr>
      <w:rFonts w:eastAsiaTheme="majorEastAsia" w:cstheme="majorBidi"/>
      <w:color w:val="000000"/>
    </w:rPr>
  </w:style>
  <w:style w:type="paragraph" w:styleId="Heading6">
    <w:name w:val="heading 6"/>
    <w:basedOn w:val="Normal"/>
    <w:next w:val="BodyText"/>
    <w:link w:val="Heading6Char"/>
    <w:uiPriority w:val="99"/>
    <w:unhideWhenUsed/>
    <w:qFormat/>
    <w:rsid w:val="003074C5"/>
    <w:pPr>
      <w:keepNext/>
      <w:keepLines/>
      <w:numPr>
        <w:ilvl w:val="5"/>
        <w:numId w:val="21"/>
      </w:numPr>
      <w:tabs>
        <w:tab w:val="clear" w:pos="0"/>
      </w:tabs>
      <w:outlineLvl w:val="5"/>
    </w:pPr>
    <w:rPr>
      <w:rFonts w:eastAsiaTheme="majorEastAsia" w:cstheme="majorBidi"/>
      <w:iCs/>
      <w:color w:val="000000"/>
    </w:rPr>
  </w:style>
  <w:style w:type="paragraph" w:styleId="Heading7">
    <w:name w:val="heading 7"/>
    <w:basedOn w:val="Normal"/>
    <w:next w:val="BodyText"/>
    <w:link w:val="Heading7Char"/>
    <w:uiPriority w:val="99"/>
    <w:unhideWhenUsed/>
    <w:qFormat/>
    <w:rsid w:val="003074C5"/>
    <w:pPr>
      <w:keepNext/>
      <w:keepLines/>
      <w:numPr>
        <w:ilvl w:val="6"/>
        <w:numId w:val="21"/>
      </w:numPr>
      <w:tabs>
        <w:tab w:val="clear" w:pos="0"/>
      </w:tabs>
      <w:outlineLvl w:val="6"/>
    </w:pPr>
    <w:rPr>
      <w:rFonts w:eastAsiaTheme="majorEastAsia" w:cstheme="majorBidi"/>
      <w:iCs/>
      <w:color w:val="000000"/>
    </w:rPr>
  </w:style>
  <w:style w:type="paragraph" w:styleId="Heading8">
    <w:name w:val="heading 8"/>
    <w:basedOn w:val="Normal"/>
    <w:next w:val="BodyText"/>
    <w:link w:val="Heading8Char"/>
    <w:uiPriority w:val="99"/>
    <w:unhideWhenUsed/>
    <w:qFormat/>
    <w:rsid w:val="003074C5"/>
    <w:pPr>
      <w:keepNext/>
      <w:keepLines/>
      <w:numPr>
        <w:ilvl w:val="7"/>
        <w:numId w:val="21"/>
      </w:numPr>
      <w:tabs>
        <w:tab w:val="clear" w:pos="0"/>
      </w:tabs>
      <w:outlineLvl w:val="7"/>
    </w:pPr>
    <w:rPr>
      <w:rFonts w:eastAsiaTheme="majorEastAsia" w:cstheme="majorBidi"/>
      <w:color w:val="000000"/>
      <w:szCs w:val="20"/>
    </w:rPr>
  </w:style>
  <w:style w:type="paragraph" w:styleId="Heading9">
    <w:name w:val="heading 9"/>
    <w:basedOn w:val="Normal"/>
    <w:next w:val="BodyText"/>
    <w:link w:val="Heading9Char"/>
    <w:uiPriority w:val="99"/>
    <w:semiHidden/>
    <w:unhideWhenUsed/>
    <w:qFormat/>
    <w:rsid w:val="003074C5"/>
    <w:pPr>
      <w:keepNext/>
      <w:keepLines/>
      <w:numPr>
        <w:ilvl w:val="8"/>
        <w:numId w:val="21"/>
      </w:numPr>
      <w:tabs>
        <w:tab w:val="clear" w:pos="0"/>
      </w:tabs>
      <w:outlineLvl w:val="8"/>
    </w:pPr>
    <w:rPr>
      <w:rFonts w:eastAsiaTheme="majorEastAsia" w:cstheme="majorBidi"/>
      <w:iCs/>
      <w:color w:val="00000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TBodyText">
    <w:name w:val="BT Body Text"/>
    <w:basedOn w:val="Normal"/>
    <w:uiPriority w:val="1"/>
    <w:qFormat/>
    <w:rsid w:val="00E06921"/>
  </w:style>
  <w:style w:type="paragraph" w:customStyle="1" w:styleId="BTDBodyTextDouble">
    <w:name w:val="BTD Body Text Double"/>
    <w:basedOn w:val="Normal"/>
    <w:uiPriority w:val="1"/>
    <w:qFormat/>
    <w:rsid w:val="00E06921"/>
    <w:pPr>
      <w:spacing w:after="0" w:line="480" w:lineRule="auto"/>
    </w:pPr>
  </w:style>
  <w:style w:type="paragraph" w:customStyle="1" w:styleId="BTDFLBodyTextDoubleFLI">
    <w:name w:val="BTDFL Body Text Double FLI"/>
    <w:basedOn w:val="Normal"/>
    <w:uiPriority w:val="1"/>
    <w:qFormat/>
    <w:rsid w:val="003074C5"/>
    <w:pPr>
      <w:spacing w:after="0" w:line="360" w:lineRule="auto"/>
      <w:ind w:firstLine="720"/>
    </w:pPr>
  </w:style>
  <w:style w:type="paragraph" w:customStyle="1" w:styleId="BTFIBodyTextFirstIndent">
    <w:name w:val="BTFI Body Text First Indent"/>
    <w:basedOn w:val="Normal"/>
    <w:uiPriority w:val="1"/>
    <w:qFormat/>
    <w:rsid w:val="00E06921"/>
    <w:pPr>
      <w:ind w:firstLine="720"/>
    </w:pPr>
  </w:style>
  <w:style w:type="paragraph" w:customStyle="1" w:styleId="BTFI2BodyTextFirstIndent10">
    <w:name w:val="BTFI2 Body Text First Indent 1.0"/>
    <w:basedOn w:val="Normal"/>
    <w:uiPriority w:val="1"/>
    <w:qFormat/>
    <w:rsid w:val="00E06921"/>
    <w:pPr>
      <w:ind w:firstLine="1440"/>
    </w:pPr>
  </w:style>
  <w:style w:type="paragraph" w:customStyle="1" w:styleId="BTIBodyTextIndent5">
    <w:name w:val="BTI Body Text Indent .5"/>
    <w:basedOn w:val="Normal"/>
    <w:uiPriority w:val="1"/>
    <w:qFormat/>
    <w:rsid w:val="00E06921"/>
    <w:pPr>
      <w:ind w:left="720"/>
    </w:pPr>
  </w:style>
  <w:style w:type="paragraph" w:customStyle="1" w:styleId="BTI2BodyTextHangIndent">
    <w:name w:val="BTI2 Body Text Hang Indent"/>
    <w:basedOn w:val="Normal"/>
    <w:uiPriority w:val="1"/>
    <w:qFormat/>
    <w:rsid w:val="00E06921"/>
    <w:pPr>
      <w:ind w:left="720" w:hanging="720"/>
    </w:pPr>
  </w:style>
  <w:style w:type="paragraph" w:customStyle="1" w:styleId="BTI3BodyTextIndent10">
    <w:name w:val="BTI3 Body Text Indent 1.0"/>
    <w:basedOn w:val="Normal"/>
    <w:uiPriority w:val="1"/>
    <w:qFormat/>
    <w:rsid w:val="00E06921"/>
    <w:pPr>
      <w:ind w:left="1440"/>
    </w:pPr>
  </w:style>
  <w:style w:type="paragraph" w:customStyle="1" w:styleId="BTI4BodyTextIndent15">
    <w:name w:val="BTI4 Body Text Indent 1.5"/>
    <w:basedOn w:val="Normal"/>
    <w:uiPriority w:val="1"/>
    <w:qFormat/>
    <w:rsid w:val="00E06921"/>
    <w:pPr>
      <w:ind w:left="2160"/>
    </w:pPr>
  </w:style>
  <w:style w:type="paragraph" w:customStyle="1" w:styleId="BTI5BodyTextIndent20">
    <w:name w:val="BTI5 Body Text Indent 2.0"/>
    <w:basedOn w:val="Normal"/>
    <w:uiPriority w:val="1"/>
    <w:qFormat/>
    <w:rsid w:val="00E06921"/>
    <w:pPr>
      <w:ind w:left="2880"/>
    </w:pPr>
  </w:style>
  <w:style w:type="paragraph" w:customStyle="1" w:styleId="BTNSBodyTextNoSpace">
    <w:name w:val="BTNS Body Text No Space"/>
    <w:basedOn w:val="Normal"/>
    <w:uiPriority w:val="1"/>
    <w:qFormat/>
    <w:rsid w:val="00E06921"/>
    <w:pPr>
      <w:spacing w:after="0"/>
    </w:pPr>
  </w:style>
  <w:style w:type="paragraph" w:customStyle="1" w:styleId="Q5BodyTextQuote5">
    <w:name w:val="Q.5 Body Text Quote .5"/>
    <w:basedOn w:val="Normal"/>
    <w:uiPriority w:val="1"/>
    <w:qFormat/>
    <w:rsid w:val="00CA6F8A"/>
    <w:pPr>
      <w:ind w:left="720" w:right="720"/>
    </w:pPr>
  </w:style>
  <w:style w:type="paragraph" w:customStyle="1" w:styleId="Q1BodyTextQuote1">
    <w:name w:val="Q1 Body Text Quote 1"/>
    <w:basedOn w:val="Normal"/>
    <w:uiPriority w:val="1"/>
    <w:qFormat/>
    <w:rsid w:val="007959E0"/>
    <w:pPr>
      <w:ind w:left="1440" w:right="1440"/>
    </w:pPr>
  </w:style>
  <w:style w:type="paragraph" w:customStyle="1" w:styleId="CSCaseStyle">
    <w:name w:val="CS Case Style"/>
    <w:basedOn w:val="Normal"/>
    <w:uiPriority w:val="1"/>
    <w:qFormat/>
    <w:rsid w:val="007959E0"/>
    <w:pPr>
      <w:tabs>
        <w:tab w:val="left" w:pos="2160"/>
        <w:tab w:val="center" w:pos="4680"/>
        <w:tab w:val="left" w:pos="6120"/>
        <w:tab w:val="right" w:pos="9360"/>
      </w:tabs>
      <w:spacing w:after="0"/>
    </w:pPr>
  </w:style>
  <w:style w:type="paragraph" w:customStyle="1" w:styleId="CTCenteredText">
    <w:name w:val="CT Centered Text"/>
    <w:basedOn w:val="Normal"/>
    <w:uiPriority w:val="1"/>
    <w:qFormat/>
    <w:rsid w:val="007959E0"/>
    <w:pPr>
      <w:jc w:val="center"/>
    </w:pPr>
  </w:style>
  <w:style w:type="paragraph" w:customStyle="1" w:styleId="SBBSignatureBlockBoth">
    <w:name w:val="SBB Signature Block Both"/>
    <w:basedOn w:val="Normal"/>
    <w:uiPriority w:val="1"/>
    <w:qFormat/>
    <w:rsid w:val="00E06921"/>
    <w:pPr>
      <w:tabs>
        <w:tab w:val="left" w:pos="1080"/>
        <w:tab w:val="right" w:leader="underscore" w:pos="4320"/>
        <w:tab w:val="left" w:pos="5040"/>
        <w:tab w:val="left" w:pos="6120"/>
        <w:tab w:val="right" w:leader="underscore" w:pos="9360"/>
      </w:tabs>
      <w:spacing w:after="0"/>
      <w:jc w:val="left"/>
    </w:pPr>
  </w:style>
  <w:style w:type="paragraph" w:customStyle="1" w:styleId="SBLSignatureBlockLeft">
    <w:name w:val="SBL Signature Block Left"/>
    <w:basedOn w:val="Normal"/>
    <w:uiPriority w:val="1"/>
    <w:qFormat/>
    <w:rsid w:val="00E06921"/>
    <w:pPr>
      <w:tabs>
        <w:tab w:val="left" w:pos="1080"/>
        <w:tab w:val="right" w:leader="underscore" w:pos="4320"/>
      </w:tabs>
      <w:spacing w:after="0"/>
      <w:jc w:val="left"/>
    </w:pPr>
  </w:style>
  <w:style w:type="paragraph" w:customStyle="1" w:styleId="SBRSignatureBlockRight">
    <w:name w:val="SBR Signature Block Right"/>
    <w:basedOn w:val="Normal"/>
    <w:uiPriority w:val="1"/>
    <w:qFormat/>
    <w:rsid w:val="00E06921"/>
    <w:pPr>
      <w:tabs>
        <w:tab w:val="left" w:pos="5040"/>
        <w:tab w:val="right" w:leader="underscore" w:pos="9360"/>
      </w:tabs>
      <w:spacing w:after="0"/>
      <w:ind w:left="4320"/>
      <w:jc w:val="left"/>
    </w:pPr>
  </w:style>
  <w:style w:type="paragraph" w:customStyle="1" w:styleId="SBTSignatureBlockText">
    <w:name w:val="SBT Signature Block Text"/>
    <w:basedOn w:val="Normal"/>
    <w:uiPriority w:val="1"/>
    <w:qFormat/>
    <w:rsid w:val="00E06921"/>
    <w:pPr>
      <w:tabs>
        <w:tab w:val="left" w:pos="1080"/>
        <w:tab w:val="left" w:pos="6120"/>
      </w:tabs>
      <w:jc w:val="left"/>
    </w:pPr>
  </w:style>
  <w:style w:type="paragraph" w:customStyle="1" w:styleId="SUSubtitle">
    <w:name w:val="SU Subtitle"/>
    <w:basedOn w:val="Normal"/>
    <w:next w:val="BTBodyText"/>
    <w:uiPriority w:val="1"/>
    <w:qFormat/>
    <w:rsid w:val="0069339D"/>
    <w:pPr>
      <w:keepNext/>
      <w:jc w:val="center"/>
      <w:outlineLvl w:val="1"/>
    </w:pPr>
    <w:rPr>
      <w:b/>
    </w:rPr>
  </w:style>
  <w:style w:type="paragraph" w:customStyle="1" w:styleId="TBCTitleBoldCenter">
    <w:name w:val="TBC Title Bold Center"/>
    <w:basedOn w:val="Normal"/>
    <w:next w:val="Normal"/>
    <w:uiPriority w:val="2"/>
    <w:qFormat/>
    <w:rsid w:val="0069339D"/>
    <w:pPr>
      <w:keepNext/>
      <w:jc w:val="center"/>
      <w:outlineLvl w:val="0"/>
    </w:pPr>
    <w:rPr>
      <w:b/>
    </w:rPr>
  </w:style>
  <w:style w:type="paragraph" w:customStyle="1" w:styleId="TBCUTitleBoldCenterUnderline">
    <w:name w:val="TBCU Title Bold Center Underline"/>
    <w:basedOn w:val="Normal"/>
    <w:next w:val="Normal"/>
    <w:uiPriority w:val="2"/>
    <w:qFormat/>
    <w:rsid w:val="0069339D"/>
    <w:pPr>
      <w:keepNext/>
      <w:jc w:val="center"/>
      <w:outlineLvl w:val="0"/>
    </w:pPr>
    <w:rPr>
      <w:b/>
      <w:u w:val="single"/>
    </w:rPr>
  </w:style>
  <w:style w:type="character" w:customStyle="1" w:styleId="Heading1Char">
    <w:name w:val="Heading 1 Char"/>
    <w:basedOn w:val="DefaultParagraphFont"/>
    <w:link w:val="Heading1"/>
    <w:uiPriority w:val="99"/>
    <w:rsid w:val="003074C5"/>
    <w:rPr>
      <w:rFonts w:ascii="Times New Roman Bold" w:eastAsiaTheme="majorEastAsia" w:hAnsi="Times New Roman Bold" w:cstheme="majorBidi"/>
      <w:b/>
      <w:bCs/>
      <w:caps/>
      <w:color w:val="000000"/>
      <w:szCs w:val="28"/>
    </w:rPr>
  </w:style>
  <w:style w:type="paragraph" w:customStyle="1" w:styleId="LBListBullet">
    <w:name w:val="LB ListBullet"/>
    <w:basedOn w:val="Normal"/>
    <w:uiPriority w:val="1"/>
    <w:qFormat/>
    <w:rsid w:val="00DA6599"/>
    <w:pPr>
      <w:numPr>
        <w:numId w:val="5"/>
      </w:numPr>
      <w:tabs>
        <w:tab w:val="left" w:pos="720"/>
      </w:tabs>
      <w:outlineLvl w:val="0"/>
    </w:pPr>
  </w:style>
  <w:style w:type="paragraph" w:customStyle="1" w:styleId="LN1ListNumber">
    <w:name w:val="LN1 ListNumber"/>
    <w:basedOn w:val="Normal"/>
    <w:uiPriority w:val="1"/>
    <w:qFormat/>
    <w:rsid w:val="00E06921"/>
    <w:pPr>
      <w:numPr>
        <w:numId w:val="7"/>
      </w:numPr>
      <w:outlineLvl w:val="0"/>
    </w:pPr>
  </w:style>
  <w:style w:type="paragraph" w:customStyle="1" w:styleId="LN2ListNumber">
    <w:name w:val="LN2 ListNumber"/>
    <w:basedOn w:val="Normal"/>
    <w:uiPriority w:val="1"/>
    <w:qFormat/>
    <w:rsid w:val="00E06921"/>
    <w:pPr>
      <w:numPr>
        <w:numId w:val="9"/>
      </w:numPr>
      <w:tabs>
        <w:tab w:val="left" w:pos="720"/>
      </w:tabs>
      <w:outlineLvl w:val="0"/>
    </w:pPr>
  </w:style>
  <w:style w:type="paragraph" w:customStyle="1" w:styleId="TITitle">
    <w:name w:val="TI Title"/>
    <w:basedOn w:val="Normal"/>
    <w:next w:val="Normal"/>
    <w:uiPriority w:val="2"/>
    <w:qFormat/>
    <w:rsid w:val="006D01B8"/>
    <w:pPr>
      <w:keepNext/>
      <w:jc w:val="center"/>
    </w:pPr>
    <w:rPr>
      <w:b/>
      <w:kern w:val="28"/>
      <w:sz w:val="28"/>
    </w:rPr>
  </w:style>
  <w:style w:type="character" w:customStyle="1" w:styleId="Heading2Char">
    <w:name w:val="Heading 2 Char"/>
    <w:basedOn w:val="DefaultParagraphFont"/>
    <w:link w:val="Heading2"/>
    <w:uiPriority w:val="99"/>
    <w:rsid w:val="003074C5"/>
    <w:rPr>
      <w:rFonts w:eastAsiaTheme="majorEastAsia" w:cstheme="majorBidi"/>
      <w:b/>
      <w:bCs/>
      <w:color w:val="000000"/>
      <w:szCs w:val="26"/>
    </w:rPr>
  </w:style>
  <w:style w:type="character" w:customStyle="1" w:styleId="Heading3Char">
    <w:name w:val="Heading 3 Char"/>
    <w:basedOn w:val="DefaultParagraphFont"/>
    <w:link w:val="Heading3"/>
    <w:uiPriority w:val="99"/>
    <w:rsid w:val="003074C5"/>
    <w:rPr>
      <w:rFonts w:eastAsiaTheme="majorEastAsia" w:cstheme="majorBidi"/>
      <w:b/>
      <w:bCs/>
      <w:i/>
      <w:color w:val="000000"/>
    </w:rPr>
  </w:style>
  <w:style w:type="character" w:customStyle="1" w:styleId="Heading4Char">
    <w:name w:val="Heading 4 Char"/>
    <w:basedOn w:val="DefaultParagraphFont"/>
    <w:link w:val="Heading4"/>
    <w:uiPriority w:val="99"/>
    <w:rsid w:val="003074C5"/>
    <w:rPr>
      <w:rFonts w:eastAsiaTheme="majorEastAsia" w:cstheme="majorBidi"/>
      <w:bCs/>
      <w:iCs/>
      <w:color w:val="000000"/>
    </w:rPr>
  </w:style>
  <w:style w:type="character" w:customStyle="1" w:styleId="Heading5Char">
    <w:name w:val="Heading 5 Char"/>
    <w:basedOn w:val="DefaultParagraphFont"/>
    <w:link w:val="Heading5"/>
    <w:uiPriority w:val="99"/>
    <w:rsid w:val="003074C5"/>
    <w:rPr>
      <w:rFonts w:eastAsiaTheme="majorEastAsia" w:cstheme="majorBidi"/>
      <w:color w:val="000000"/>
    </w:rPr>
  </w:style>
  <w:style w:type="character" w:customStyle="1" w:styleId="Heading6Char">
    <w:name w:val="Heading 6 Char"/>
    <w:basedOn w:val="DefaultParagraphFont"/>
    <w:link w:val="Heading6"/>
    <w:uiPriority w:val="99"/>
    <w:rsid w:val="003074C5"/>
    <w:rPr>
      <w:rFonts w:eastAsiaTheme="majorEastAsia" w:cstheme="majorBidi"/>
      <w:iCs/>
      <w:color w:val="000000"/>
    </w:rPr>
  </w:style>
  <w:style w:type="character" w:customStyle="1" w:styleId="Heading7Char">
    <w:name w:val="Heading 7 Char"/>
    <w:basedOn w:val="DefaultParagraphFont"/>
    <w:link w:val="Heading7"/>
    <w:uiPriority w:val="99"/>
    <w:rsid w:val="003074C5"/>
    <w:rPr>
      <w:rFonts w:eastAsiaTheme="majorEastAsia" w:cstheme="majorBidi"/>
      <w:iCs/>
      <w:color w:val="000000"/>
    </w:rPr>
  </w:style>
  <w:style w:type="character" w:customStyle="1" w:styleId="Heading8Char">
    <w:name w:val="Heading 8 Char"/>
    <w:basedOn w:val="DefaultParagraphFont"/>
    <w:link w:val="Heading8"/>
    <w:uiPriority w:val="99"/>
    <w:rsid w:val="003074C5"/>
    <w:rPr>
      <w:rFonts w:eastAsiaTheme="majorEastAsia" w:cstheme="majorBidi"/>
      <w:color w:val="000000"/>
      <w:szCs w:val="20"/>
    </w:rPr>
  </w:style>
  <w:style w:type="character" w:customStyle="1" w:styleId="Heading9Char">
    <w:name w:val="Heading 9 Char"/>
    <w:basedOn w:val="DefaultParagraphFont"/>
    <w:link w:val="Heading9"/>
    <w:uiPriority w:val="99"/>
    <w:semiHidden/>
    <w:rsid w:val="003074C5"/>
    <w:rPr>
      <w:rFonts w:eastAsiaTheme="majorEastAsia" w:cstheme="majorBidi"/>
      <w:iCs/>
      <w:color w:val="000000"/>
      <w:szCs w:val="20"/>
    </w:rPr>
  </w:style>
  <w:style w:type="paragraph" w:customStyle="1" w:styleId="BLBlock">
    <w:name w:val="BL Block"/>
    <w:basedOn w:val="Normal"/>
    <w:uiPriority w:val="1"/>
    <w:qFormat/>
    <w:rsid w:val="008A0F3D"/>
    <w:pPr>
      <w:ind w:left="1440" w:right="1440"/>
    </w:pPr>
  </w:style>
  <w:style w:type="paragraph" w:styleId="ListParagraph">
    <w:name w:val="List Paragraph"/>
    <w:basedOn w:val="Normal"/>
    <w:uiPriority w:val="99"/>
    <w:unhideWhenUsed/>
    <w:qFormat/>
    <w:rsid w:val="008617C7"/>
    <w:pPr>
      <w:ind w:left="720"/>
    </w:pPr>
  </w:style>
  <w:style w:type="table" w:styleId="TableGrid">
    <w:name w:val="Table Grid"/>
    <w:basedOn w:val="TableNormal"/>
    <w:uiPriority w:val="59"/>
    <w:rsid w:val="00D24F2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2F0FA6"/>
    <w:pPr>
      <w:tabs>
        <w:tab w:val="center" w:pos="4680"/>
        <w:tab w:val="right" w:pos="9360"/>
      </w:tabs>
      <w:spacing w:after="0"/>
    </w:pPr>
  </w:style>
  <w:style w:type="character" w:customStyle="1" w:styleId="HeaderChar">
    <w:name w:val="Header Char"/>
    <w:basedOn w:val="DefaultParagraphFont"/>
    <w:link w:val="Header"/>
    <w:rsid w:val="002F0FA6"/>
  </w:style>
  <w:style w:type="paragraph" w:styleId="Footer">
    <w:name w:val="footer"/>
    <w:basedOn w:val="Normal"/>
    <w:link w:val="FooterChar"/>
    <w:unhideWhenUsed/>
    <w:rsid w:val="002F0FA6"/>
    <w:pPr>
      <w:tabs>
        <w:tab w:val="center" w:pos="4680"/>
        <w:tab w:val="right" w:pos="9360"/>
      </w:tabs>
      <w:spacing w:after="0"/>
    </w:pPr>
  </w:style>
  <w:style w:type="character" w:customStyle="1" w:styleId="FooterChar">
    <w:name w:val="Footer Char"/>
    <w:basedOn w:val="DefaultParagraphFont"/>
    <w:link w:val="Footer"/>
    <w:rsid w:val="002F0FA6"/>
  </w:style>
  <w:style w:type="character" w:styleId="CommentReference">
    <w:name w:val="annotation reference"/>
    <w:basedOn w:val="DefaultParagraphFont"/>
    <w:uiPriority w:val="99"/>
    <w:semiHidden/>
    <w:unhideWhenUsed/>
    <w:rsid w:val="00130D16"/>
    <w:rPr>
      <w:sz w:val="16"/>
      <w:szCs w:val="16"/>
    </w:rPr>
  </w:style>
  <w:style w:type="paragraph" w:styleId="CommentText">
    <w:name w:val="annotation text"/>
    <w:basedOn w:val="Normal"/>
    <w:link w:val="CommentTextChar"/>
    <w:uiPriority w:val="99"/>
    <w:unhideWhenUsed/>
    <w:rsid w:val="00130D16"/>
    <w:rPr>
      <w:sz w:val="20"/>
      <w:szCs w:val="20"/>
    </w:rPr>
  </w:style>
  <w:style w:type="character" w:customStyle="1" w:styleId="CommentTextChar">
    <w:name w:val="Comment Text Char"/>
    <w:basedOn w:val="DefaultParagraphFont"/>
    <w:link w:val="CommentText"/>
    <w:uiPriority w:val="99"/>
    <w:rsid w:val="00130D16"/>
    <w:rPr>
      <w:sz w:val="20"/>
      <w:szCs w:val="20"/>
    </w:rPr>
  </w:style>
  <w:style w:type="paragraph" w:styleId="CommentSubject">
    <w:name w:val="annotation subject"/>
    <w:basedOn w:val="CommentText"/>
    <w:next w:val="CommentText"/>
    <w:link w:val="CommentSubjectChar"/>
    <w:uiPriority w:val="99"/>
    <w:semiHidden/>
    <w:unhideWhenUsed/>
    <w:rsid w:val="00130D16"/>
    <w:rPr>
      <w:b/>
      <w:bCs/>
    </w:rPr>
  </w:style>
  <w:style w:type="character" w:customStyle="1" w:styleId="CommentSubjectChar">
    <w:name w:val="Comment Subject Char"/>
    <w:basedOn w:val="CommentTextChar"/>
    <w:link w:val="CommentSubject"/>
    <w:uiPriority w:val="99"/>
    <w:semiHidden/>
    <w:rsid w:val="00130D16"/>
    <w:rPr>
      <w:b/>
      <w:bCs/>
      <w:sz w:val="20"/>
      <w:szCs w:val="20"/>
    </w:rPr>
  </w:style>
  <w:style w:type="paragraph" w:styleId="BalloonText">
    <w:name w:val="Balloon Text"/>
    <w:basedOn w:val="Normal"/>
    <w:link w:val="BalloonTextChar"/>
    <w:uiPriority w:val="99"/>
    <w:semiHidden/>
    <w:unhideWhenUsed/>
    <w:rsid w:val="00130D16"/>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130D16"/>
    <w:rPr>
      <w:rFonts w:ascii="Tahoma" w:hAnsi="Tahoma" w:cs="Tahoma"/>
      <w:sz w:val="16"/>
      <w:szCs w:val="16"/>
    </w:rPr>
  </w:style>
  <w:style w:type="paragraph" w:styleId="FootnoteText">
    <w:name w:val="footnote text"/>
    <w:basedOn w:val="Normal"/>
    <w:link w:val="FootnoteTextChar"/>
    <w:unhideWhenUsed/>
    <w:qFormat/>
    <w:rsid w:val="00BE374E"/>
    <w:pPr>
      <w:spacing w:after="0"/>
    </w:pPr>
    <w:rPr>
      <w:sz w:val="20"/>
      <w:szCs w:val="20"/>
    </w:rPr>
  </w:style>
  <w:style w:type="character" w:customStyle="1" w:styleId="FootnoteTextChar">
    <w:name w:val="Footnote Text Char"/>
    <w:basedOn w:val="DefaultParagraphFont"/>
    <w:link w:val="FootnoteText"/>
    <w:rsid w:val="00BE374E"/>
    <w:rPr>
      <w:sz w:val="20"/>
      <w:szCs w:val="20"/>
    </w:rPr>
  </w:style>
  <w:style w:type="character" w:styleId="FootnoteReference">
    <w:name w:val="footnote reference"/>
    <w:basedOn w:val="DefaultParagraphFont"/>
    <w:unhideWhenUsed/>
    <w:rsid w:val="00BE374E"/>
    <w:rPr>
      <w:vertAlign w:val="superscript"/>
    </w:rPr>
  </w:style>
  <w:style w:type="character" w:styleId="Hyperlink">
    <w:name w:val="Hyperlink"/>
    <w:basedOn w:val="DefaultParagraphFont"/>
    <w:uiPriority w:val="99"/>
    <w:unhideWhenUsed/>
    <w:rsid w:val="0014203B"/>
    <w:rPr>
      <w:color w:val="0000FF" w:themeColor="hyperlink"/>
      <w:u w:val="single"/>
    </w:rPr>
  </w:style>
  <w:style w:type="paragraph" w:styleId="Revision">
    <w:name w:val="Revision"/>
    <w:hidden/>
    <w:uiPriority w:val="99"/>
    <w:semiHidden/>
    <w:rsid w:val="003F3A39"/>
    <w:pPr>
      <w:spacing w:after="0"/>
    </w:pPr>
  </w:style>
  <w:style w:type="paragraph" w:styleId="EndnoteText">
    <w:name w:val="endnote text"/>
    <w:basedOn w:val="Normal"/>
    <w:link w:val="EndnoteTextChar"/>
    <w:uiPriority w:val="99"/>
    <w:semiHidden/>
    <w:unhideWhenUsed/>
    <w:rsid w:val="00984452"/>
    <w:pPr>
      <w:spacing w:after="0"/>
    </w:pPr>
    <w:rPr>
      <w:sz w:val="20"/>
      <w:szCs w:val="20"/>
    </w:rPr>
  </w:style>
  <w:style w:type="character" w:customStyle="1" w:styleId="EndnoteTextChar">
    <w:name w:val="Endnote Text Char"/>
    <w:basedOn w:val="DefaultParagraphFont"/>
    <w:link w:val="EndnoteText"/>
    <w:uiPriority w:val="99"/>
    <w:semiHidden/>
    <w:rsid w:val="00984452"/>
    <w:rPr>
      <w:sz w:val="20"/>
      <w:szCs w:val="20"/>
    </w:rPr>
  </w:style>
  <w:style w:type="character" w:styleId="EndnoteReference">
    <w:name w:val="endnote reference"/>
    <w:basedOn w:val="DefaultParagraphFont"/>
    <w:uiPriority w:val="99"/>
    <w:semiHidden/>
    <w:unhideWhenUsed/>
    <w:rsid w:val="00984452"/>
    <w:rPr>
      <w:vertAlign w:val="superscript"/>
    </w:rPr>
  </w:style>
  <w:style w:type="paragraph" w:customStyle="1" w:styleId="BodyTextQuote1">
    <w:name w:val="Body Text Quote 1"/>
    <w:aliases w:val="Q1,VE Body Text Quote 1"/>
    <w:basedOn w:val="Normal"/>
    <w:rsid w:val="00B56896"/>
    <w:pPr>
      <w:ind w:left="1440" w:right="1440"/>
      <w:jc w:val="left"/>
    </w:pPr>
    <w:rPr>
      <w:rFonts w:eastAsia="Times New Roman" w:cs="Times New Roman"/>
    </w:rPr>
  </w:style>
  <w:style w:type="paragraph" w:customStyle="1" w:styleId="LetterText">
    <w:name w:val="Letter Text"/>
    <w:basedOn w:val="Normal"/>
    <w:rsid w:val="002D7A9B"/>
    <w:pPr>
      <w:spacing w:line="300" w:lineRule="exact"/>
      <w:ind w:firstLine="720"/>
    </w:pPr>
    <w:rPr>
      <w:rFonts w:eastAsia="Times New Roman" w:cs="Times New Roman"/>
    </w:rPr>
  </w:style>
  <w:style w:type="paragraph" w:styleId="BodyText">
    <w:name w:val="Body Text"/>
    <w:basedOn w:val="Normal"/>
    <w:link w:val="BodyTextChar"/>
    <w:uiPriority w:val="99"/>
    <w:semiHidden/>
    <w:unhideWhenUsed/>
    <w:rsid w:val="003074C5"/>
    <w:pPr>
      <w:spacing w:after="120"/>
    </w:pPr>
  </w:style>
  <w:style w:type="character" w:customStyle="1" w:styleId="BodyTextChar">
    <w:name w:val="Body Text Char"/>
    <w:basedOn w:val="DefaultParagraphFont"/>
    <w:link w:val="BodyText"/>
    <w:uiPriority w:val="99"/>
    <w:semiHidden/>
    <w:rsid w:val="003074C5"/>
  </w:style>
  <w:style w:type="paragraph" w:styleId="TOC1">
    <w:name w:val="toc 1"/>
    <w:basedOn w:val="Normal"/>
    <w:next w:val="Normal"/>
    <w:autoRedefine/>
    <w:uiPriority w:val="39"/>
    <w:unhideWhenUsed/>
    <w:rsid w:val="00D94A91"/>
    <w:pPr>
      <w:tabs>
        <w:tab w:val="right" w:leader="dot" w:pos="9360"/>
      </w:tabs>
      <w:spacing w:after="180"/>
      <w:ind w:left="720" w:right="720" w:hanging="720"/>
      <w:jc w:val="left"/>
    </w:pPr>
  </w:style>
  <w:style w:type="paragraph" w:styleId="TOC2">
    <w:name w:val="toc 2"/>
    <w:basedOn w:val="Normal"/>
    <w:next w:val="Normal"/>
    <w:autoRedefine/>
    <w:uiPriority w:val="39"/>
    <w:unhideWhenUsed/>
    <w:rsid w:val="00962110"/>
    <w:pPr>
      <w:tabs>
        <w:tab w:val="right" w:leader="dot" w:pos="9360"/>
      </w:tabs>
      <w:spacing w:after="180"/>
      <w:ind w:left="1440" w:right="720" w:hanging="720"/>
    </w:pPr>
  </w:style>
  <w:style w:type="paragraph" w:styleId="TOC3">
    <w:name w:val="toc 3"/>
    <w:basedOn w:val="Normal"/>
    <w:next w:val="Normal"/>
    <w:autoRedefine/>
    <w:uiPriority w:val="39"/>
    <w:unhideWhenUsed/>
    <w:rsid w:val="00962110"/>
    <w:pPr>
      <w:tabs>
        <w:tab w:val="right" w:leader="dot" w:pos="9360"/>
      </w:tabs>
      <w:spacing w:after="180"/>
      <w:ind w:left="2160" w:right="720" w:hanging="720"/>
    </w:pPr>
  </w:style>
  <w:style w:type="paragraph" w:styleId="TOC4">
    <w:name w:val="toc 4"/>
    <w:basedOn w:val="Normal"/>
    <w:next w:val="Normal"/>
    <w:autoRedefine/>
    <w:uiPriority w:val="99"/>
    <w:semiHidden/>
    <w:unhideWhenUsed/>
    <w:rsid w:val="003074C5"/>
    <w:pPr>
      <w:spacing w:after="100"/>
      <w:ind w:left="720"/>
    </w:pPr>
  </w:style>
  <w:style w:type="paragraph" w:styleId="TOC5">
    <w:name w:val="toc 5"/>
    <w:basedOn w:val="Normal"/>
    <w:next w:val="Normal"/>
    <w:autoRedefine/>
    <w:uiPriority w:val="99"/>
    <w:semiHidden/>
    <w:unhideWhenUsed/>
    <w:rsid w:val="003074C5"/>
    <w:pPr>
      <w:spacing w:after="100"/>
      <w:ind w:left="960"/>
    </w:pPr>
  </w:style>
  <w:style w:type="paragraph" w:styleId="TOC6">
    <w:name w:val="toc 6"/>
    <w:basedOn w:val="Normal"/>
    <w:next w:val="Normal"/>
    <w:autoRedefine/>
    <w:uiPriority w:val="99"/>
    <w:semiHidden/>
    <w:unhideWhenUsed/>
    <w:rsid w:val="003074C5"/>
    <w:pPr>
      <w:spacing w:after="100"/>
      <w:ind w:left="1200"/>
    </w:pPr>
  </w:style>
  <w:style w:type="paragraph" w:styleId="TOC7">
    <w:name w:val="toc 7"/>
    <w:basedOn w:val="Normal"/>
    <w:next w:val="Normal"/>
    <w:autoRedefine/>
    <w:uiPriority w:val="99"/>
    <w:semiHidden/>
    <w:unhideWhenUsed/>
    <w:rsid w:val="003074C5"/>
    <w:pPr>
      <w:spacing w:after="100"/>
      <w:ind w:left="1440"/>
    </w:pPr>
  </w:style>
  <w:style w:type="paragraph" w:styleId="TOC8">
    <w:name w:val="toc 8"/>
    <w:basedOn w:val="Normal"/>
    <w:next w:val="Normal"/>
    <w:autoRedefine/>
    <w:uiPriority w:val="99"/>
    <w:semiHidden/>
    <w:unhideWhenUsed/>
    <w:rsid w:val="003074C5"/>
    <w:pPr>
      <w:spacing w:after="100"/>
      <w:ind w:left="1680"/>
    </w:pPr>
  </w:style>
  <w:style w:type="paragraph" w:styleId="TOC9">
    <w:name w:val="toc 9"/>
    <w:basedOn w:val="Normal"/>
    <w:next w:val="Normal"/>
    <w:autoRedefine/>
    <w:uiPriority w:val="99"/>
    <w:semiHidden/>
    <w:unhideWhenUsed/>
    <w:rsid w:val="003074C5"/>
    <w:pPr>
      <w:spacing w:after="100"/>
      <w:ind w:left="1920"/>
    </w:pPr>
  </w:style>
  <w:style w:type="paragraph" w:customStyle="1" w:styleId="TOCPage">
    <w:name w:val="TOC Page"/>
    <w:basedOn w:val="Normal"/>
    <w:next w:val="Normal"/>
    <w:link w:val="TOCPageChar"/>
    <w:rsid w:val="00DB3679"/>
    <w:pPr>
      <w:jc w:val="right"/>
    </w:pPr>
    <w:rPr>
      <w:b/>
      <w:u w:val="single"/>
    </w:rPr>
  </w:style>
  <w:style w:type="character" w:customStyle="1" w:styleId="TOCPageChar">
    <w:name w:val="TOC Page Char"/>
    <w:basedOn w:val="DefaultParagraphFont"/>
    <w:link w:val="TOCPage"/>
    <w:rsid w:val="00DB3679"/>
    <w:rPr>
      <w:b/>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4"/>
        <w:lang w:val="en-US" w:eastAsia="en-US" w:bidi="ar-SA"/>
      </w:rPr>
    </w:rPrDefault>
    <w:pPrDefault>
      <w:pPr>
        <w:spacing w:after="24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footnote text" w:uiPriority="0" w:qFormat="1"/>
    <w:lsdException w:name="header" w:uiPriority="0"/>
    <w:lsdException w:name="footer" w:uiPriority="0"/>
    <w:lsdException w:name="caption" w:qFormat="1"/>
    <w:lsdException w:name="footnote reference" w:uiPriority="0"/>
    <w:lsdException w:name="Title" w:semiHidden="0" w:unhideWhenUsed="0" w:qFormat="1"/>
    <w:lsdException w:name="Default Paragraph Font" w:uiPriority="1"/>
    <w:lsdException w:name="Subtitle" w:qFormat="1"/>
    <w:lsdException w:name="Strong" w:semiHidden="0" w:unhideWhenUsed="0" w:qFormat="1"/>
    <w:lsdException w:name="Emphasis" w:semiHidden="0" w:unhideWhenUsed="0" w:qFormat="1"/>
    <w:lsdException w:name="Table Grid" w:semiHidden="0" w:uiPriority="59" w:unhideWhenUsed="0"/>
    <w:lsdException w:name="No Spacing"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TOC Heading" w:qFormat="1"/>
  </w:latentStyles>
  <w:style w:type="paragraph" w:default="1" w:styleId="Normal">
    <w:name w:val="Normal"/>
    <w:qFormat/>
    <w:rsid w:val="00D24F2D"/>
    <w:pPr>
      <w:jc w:val="both"/>
    </w:pPr>
  </w:style>
  <w:style w:type="paragraph" w:styleId="Heading1">
    <w:name w:val="heading 1"/>
    <w:basedOn w:val="Normal"/>
    <w:next w:val="BodyText"/>
    <w:link w:val="Heading1Char"/>
    <w:uiPriority w:val="99"/>
    <w:unhideWhenUsed/>
    <w:qFormat/>
    <w:rsid w:val="003074C5"/>
    <w:pPr>
      <w:keepNext/>
      <w:keepLines/>
      <w:numPr>
        <w:numId w:val="21"/>
      </w:numPr>
      <w:tabs>
        <w:tab w:val="clear" w:pos="0"/>
      </w:tabs>
      <w:spacing w:after="180"/>
      <w:jc w:val="center"/>
      <w:outlineLvl w:val="0"/>
    </w:pPr>
    <w:rPr>
      <w:rFonts w:ascii="Times New Roman Bold" w:eastAsiaTheme="majorEastAsia" w:hAnsi="Times New Roman Bold" w:cstheme="majorBidi"/>
      <w:b/>
      <w:bCs/>
      <w:caps/>
      <w:color w:val="000000"/>
      <w:szCs w:val="28"/>
    </w:rPr>
  </w:style>
  <w:style w:type="paragraph" w:styleId="Heading2">
    <w:name w:val="heading 2"/>
    <w:basedOn w:val="Normal"/>
    <w:next w:val="BodyText"/>
    <w:link w:val="Heading2Char"/>
    <w:uiPriority w:val="99"/>
    <w:unhideWhenUsed/>
    <w:qFormat/>
    <w:rsid w:val="003074C5"/>
    <w:pPr>
      <w:keepNext/>
      <w:keepLines/>
      <w:numPr>
        <w:ilvl w:val="1"/>
        <w:numId w:val="21"/>
      </w:numPr>
      <w:tabs>
        <w:tab w:val="clear" w:pos="0"/>
      </w:tabs>
      <w:spacing w:after="180"/>
      <w:outlineLvl w:val="1"/>
    </w:pPr>
    <w:rPr>
      <w:rFonts w:eastAsiaTheme="majorEastAsia" w:cstheme="majorBidi"/>
      <w:b/>
      <w:bCs/>
      <w:color w:val="000000"/>
      <w:szCs w:val="26"/>
    </w:rPr>
  </w:style>
  <w:style w:type="paragraph" w:styleId="Heading3">
    <w:name w:val="heading 3"/>
    <w:basedOn w:val="Normal"/>
    <w:next w:val="BodyText"/>
    <w:link w:val="Heading3Char"/>
    <w:uiPriority w:val="99"/>
    <w:unhideWhenUsed/>
    <w:qFormat/>
    <w:rsid w:val="003074C5"/>
    <w:pPr>
      <w:keepNext/>
      <w:keepLines/>
      <w:numPr>
        <w:ilvl w:val="2"/>
        <w:numId w:val="21"/>
      </w:numPr>
      <w:tabs>
        <w:tab w:val="clear" w:pos="0"/>
      </w:tabs>
      <w:spacing w:after="180"/>
      <w:outlineLvl w:val="2"/>
    </w:pPr>
    <w:rPr>
      <w:rFonts w:eastAsiaTheme="majorEastAsia" w:cstheme="majorBidi"/>
      <w:b/>
      <w:bCs/>
      <w:i/>
      <w:color w:val="000000"/>
    </w:rPr>
  </w:style>
  <w:style w:type="paragraph" w:styleId="Heading4">
    <w:name w:val="heading 4"/>
    <w:basedOn w:val="Normal"/>
    <w:next w:val="BodyText"/>
    <w:link w:val="Heading4Char"/>
    <w:uiPriority w:val="99"/>
    <w:unhideWhenUsed/>
    <w:qFormat/>
    <w:rsid w:val="003074C5"/>
    <w:pPr>
      <w:keepNext/>
      <w:keepLines/>
      <w:numPr>
        <w:ilvl w:val="3"/>
        <w:numId w:val="21"/>
      </w:numPr>
      <w:tabs>
        <w:tab w:val="clear" w:pos="0"/>
      </w:tabs>
      <w:outlineLvl w:val="3"/>
    </w:pPr>
    <w:rPr>
      <w:rFonts w:eastAsiaTheme="majorEastAsia" w:cstheme="majorBidi"/>
      <w:bCs/>
      <w:iCs/>
      <w:color w:val="000000"/>
    </w:rPr>
  </w:style>
  <w:style w:type="paragraph" w:styleId="Heading5">
    <w:name w:val="heading 5"/>
    <w:basedOn w:val="Normal"/>
    <w:next w:val="BodyText"/>
    <w:link w:val="Heading5Char"/>
    <w:uiPriority w:val="99"/>
    <w:unhideWhenUsed/>
    <w:qFormat/>
    <w:rsid w:val="003074C5"/>
    <w:pPr>
      <w:keepNext/>
      <w:keepLines/>
      <w:numPr>
        <w:ilvl w:val="4"/>
        <w:numId w:val="21"/>
      </w:numPr>
      <w:tabs>
        <w:tab w:val="clear" w:pos="0"/>
      </w:tabs>
      <w:outlineLvl w:val="4"/>
    </w:pPr>
    <w:rPr>
      <w:rFonts w:eastAsiaTheme="majorEastAsia" w:cstheme="majorBidi"/>
      <w:color w:val="000000"/>
    </w:rPr>
  </w:style>
  <w:style w:type="paragraph" w:styleId="Heading6">
    <w:name w:val="heading 6"/>
    <w:basedOn w:val="Normal"/>
    <w:next w:val="BodyText"/>
    <w:link w:val="Heading6Char"/>
    <w:uiPriority w:val="99"/>
    <w:unhideWhenUsed/>
    <w:qFormat/>
    <w:rsid w:val="003074C5"/>
    <w:pPr>
      <w:keepNext/>
      <w:keepLines/>
      <w:numPr>
        <w:ilvl w:val="5"/>
        <w:numId w:val="21"/>
      </w:numPr>
      <w:tabs>
        <w:tab w:val="clear" w:pos="0"/>
      </w:tabs>
      <w:outlineLvl w:val="5"/>
    </w:pPr>
    <w:rPr>
      <w:rFonts w:eastAsiaTheme="majorEastAsia" w:cstheme="majorBidi"/>
      <w:iCs/>
      <w:color w:val="000000"/>
    </w:rPr>
  </w:style>
  <w:style w:type="paragraph" w:styleId="Heading7">
    <w:name w:val="heading 7"/>
    <w:basedOn w:val="Normal"/>
    <w:next w:val="BodyText"/>
    <w:link w:val="Heading7Char"/>
    <w:uiPriority w:val="99"/>
    <w:unhideWhenUsed/>
    <w:qFormat/>
    <w:rsid w:val="003074C5"/>
    <w:pPr>
      <w:keepNext/>
      <w:keepLines/>
      <w:numPr>
        <w:ilvl w:val="6"/>
        <w:numId w:val="21"/>
      </w:numPr>
      <w:tabs>
        <w:tab w:val="clear" w:pos="0"/>
      </w:tabs>
      <w:outlineLvl w:val="6"/>
    </w:pPr>
    <w:rPr>
      <w:rFonts w:eastAsiaTheme="majorEastAsia" w:cstheme="majorBidi"/>
      <w:iCs/>
      <w:color w:val="000000"/>
    </w:rPr>
  </w:style>
  <w:style w:type="paragraph" w:styleId="Heading8">
    <w:name w:val="heading 8"/>
    <w:basedOn w:val="Normal"/>
    <w:next w:val="BodyText"/>
    <w:link w:val="Heading8Char"/>
    <w:uiPriority w:val="99"/>
    <w:unhideWhenUsed/>
    <w:qFormat/>
    <w:rsid w:val="003074C5"/>
    <w:pPr>
      <w:keepNext/>
      <w:keepLines/>
      <w:numPr>
        <w:ilvl w:val="7"/>
        <w:numId w:val="21"/>
      </w:numPr>
      <w:tabs>
        <w:tab w:val="clear" w:pos="0"/>
      </w:tabs>
      <w:outlineLvl w:val="7"/>
    </w:pPr>
    <w:rPr>
      <w:rFonts w:eastAsiaTheme="majorEastAsia" w:cstheme="majorBidi"/>
      <w:color w:val="000000"/>
      <w:szCs w:val="20"/>
    </w:rPr>
  </w:style>
  <w:style w:type="paragraph" w:styleId="Heading9">
    <w:name w:val="heading 9"/>
    <w:basedOn w:val="Normal"/>
    <w:next w:val="BodyText"/>
    <w:link w:val="Heading9Char"/>
    <w:uiPriority w:val="99"/>
    <w:semiHidden/>
    <w:unhideWhenUsed/>
    <w:qFormat/>
    <w:rsid w:val="003074C5"/>
    <w:pPr>
      <w:keepNext/>
      <w:keepLines/>
      <w:numPr>
        <w:ilvl w:val="8"/>
        <w:numId w:val="21"/>
      </w:numPr>
      <w:tabs>
        <w:tab w:val="clear" w:pos="0"/>
      </w:tabs>
      <w:outlineLvl w:val="8"/>
    </w:pPr>
    <w:rPr>
      <w:rFonts w:eastAsiaTheme="majorEastAsia" w:cstheme="majorBidi"/>
      <w:iCs/>
      <w:color w:val="00000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TBodyText">
    <w:name w:val="BT Body Text"/>
    <w:basedOn w:val="Normal"/>
    <w:uiPriority w:val="1"/>
    <w:qFormat/>
    <w:rsid w:val="00E06921"/>
  </w:style>
  <w:style w:type="paragraph" w:customStyle="1" w:styleId="BTDBodyTextDouble">
    <w:name w:val="BTD Body Text Double"/>
    <w:basedOn w:val="Normal"/>
    <w:uiPriority w:val="1"/>
    <w:qFormat/>
    <w:rsid w:val="00E06921"/>
    <w:pPr>
      <w:spacing w:after="0" w:line="480" w:lineRule="auto"/>
    </w:pPr>
  </w:style>
  <w:style w:type="paragraph" w:customStyle="1" w:styleId="BTDFLBodyTextDoubleFLI">
    <w:name w:val="BTDFL Body Text Double FLI"/>
    <w:basedOn w:val="Normal"/>
    <w:uiPriority w:val="1"/>
    <w:qFormat/>
    <w:rsid w:val="003074C5"/>
    <w:pPr>
      <w:spacing w:after="0" w:line="360" w:lineRule="auto"/>
      <w:ind w:firstLine="720"/>
    </w:pPr>
  </w:style>
  <w:style w:type="paragraph" w:customStyle="1" w:styleId="BTFIBodyTextFirstIndent">
    <w:name w:val="BTFI Body Text First Indent"/>
    <w:basedOn w:val="Normal"/>
    <w:uiPriority w:val="1"/>
    <w:qFormat/>
    <w:rsid w:val="00E06921"/>
    <w:pPr>
      <w:ind w:firstLine="720"/>
    </w:pPr>
  </w:style>
  <w:style w:type="paragraph" w:customStyle="1" w:styleId="BTFI2BodyTextFirstIndent10">
    <w:name w:val="BTFI2 Body Text First Indent 1.0"/>
    <w:basedOn w:val="Normal"/>
    <w:uiPriority w:val="1"/>
    <w:qFormat/>
    <w:rsid w:val="00E06921"/>
    <w:pPr>
      <w:ind w:firstLine="1440"/>
    </w:pPr>
  </w:style>
  <w:style w:type="paragraph" w:customStyle="1" w:styleId="BTIBodyTextIndent5">
    <w:name w:val="BTI Body Text Indent .5"/>
    <w:basedOn w:val="Normal"/>
    <w:uiPriority w:val="1"/>
    <w:qFormat/>
    <w:rsid w:val="00E06921"/>
    <w:pPr>
      <w:ind w:left="720"/>
    </w:pPr>
  </w:style>
  <w:style w:type="paragraph" w:customStyle="1" w:styleId="BTI2BodyTextHangIndent">
    <w:name w:val="BTI2 Body Text Hang Indent"/>
    <w:basedOn w:val="Normal"/>
    <w:uiPriority w:val="1"/>
    <w:qFormat/>
    <w:rsid w:val="00E06921"/>
    <w:pPr>
      <w:ind w:left="720" w:hanging="720"/>
    </w:pPr>
  </w:style>
  <w:style w:type="paragraph" w:customStyle="1" w:styleId="BTI3BodyTextIndent10">
    <w:name w:val="BTI3 Body Text Indent 1.0"/>
    <w:basedOn w:val="Normal"/>
    <w:uiPriority w:val="1"/>
    <w:qFormat/>
    <w:rsid w:val="00E06921"/>
    <w:pPr>
      <w:ind w:left="1440"/>
    </w:pPr>
  </w:style>
  <w:style w:type="paragraph" w:customStyle="1" w:styleId="BTI4BodyTextIndent15">
    <w:name w:val="BTI4 Body Text Indent 1.5"/>
    <w:basedOn w:val="Normal"/>
    <w:uiPriority w:val="1"/>
    <w:qFormat/>
    <w:rsid w:val="00E06921"/>
    <w:pPr>
      <w:ind w:left="2160"/>
    </w:pPr>
  </w:style>
  <w:style w:type="paragraph" w:customStyle="1" w:styleId="BTI5BodyTextIndent20">
    <w:name w:val="BTI5 Body Text Indent 2.0"/>
    <w:basedOn w:val="Normal"/>
    <w:uiPriority w:val="1"/>
    <w:qFormat/>
    <w:rsid w:val="00E06921"/>
    <w:pPr>
      <w:ind w:left="2880"/>
    </w:pPr>
  </w:style>
  <w:style w:type="paragraph" w:customStyle="1" w:styleId="BTNSBodyTextNoSpace">
    <w:name w:val="BTNS Body Text No Space"/>
    <w:basedOn w:val="Normal"/>
    <w:uiPriority w:val="1"/>
    <w:qFormat/>
    <w:rsid w:val="00E06921"/>
    <w:pPr>
      <w:spacing w:after="0"/>
    </w:pPr>
  </w:style>
  <w:style w:type="paragraph" w:customStyle="1" w:styleId="Q5BodyTextQuote5">
    <w:name w:val="Q.5 Body Text Quote .5"/>
    <w:basedOn w:val="Normal"/>
    <w:uiPriority w:val="1"/>
    <w:qFormat/>
    <w:rsid w:val="00CA6F8A"/>
    <w:pPr>
      <w:ind w:left="720" w:right="720"/>
    </w:pPr>
  </w:style>
  <w:style w:type="paragraph" w:customStyle="1" w:styleId="Q1BodyTextQuote1">
    <w:name w:val="Q1 Body Text Quote 1"/>
    <w:basedOn w:val="Normal"/>
    <w:uiPriority w:val="1"/>
    <w:qFormat/>
    <w:rsid w:val="007959E0"/>
    <w:pPr>
      <w:ind w:left="1440" w:right="1440"/>
    </w:pPr>
  </w:style>
  <w:style w:type="paragraph" w:customStyle="1" w:styleId="CSCaseStyle">
    <w:name w:val="CS Case Style"/>
    <w:basedOn w:val="Normal"/>
    <w:uiPriority w:val="1"/>
    <w:qFormat/>
    <w:rsid w:val="007959E0"/>
    <w:pPr>
      <w:tabs>
        <w:tab w:val="left" w:pos="2160"/>
        <w:tab w:val="center" w:pos="4680"/>
        <w:tab w:val="left" w:pos="6120"/>
        <w:tab w:val="right" w:pos="9360"/>
      </w:tabs>
      <w:spacing w:after="0"/>
    </w:pPr>
  </w:style>
  <w:style w:type="paragraph" w:customStyle="1" w:styleId="CTCenteredText">
    <w:name w:val="CT Centered Text"/>
    <w:basedOn w:val="Normal"/>
    <w:uiPriority w:val="1"/>
    <w:qFormat/>
    <w:rsid w:val="007959E0"/>
    <w:pPr>
      <w:jc w:val="center"/>
    </w:pPr>
  </w:style>
  <w:style w:type="paragraph" w:customStyle="1" w:styleId="SBBSignatureBlockBoth">
    <w:name w:val="SBB Signature Block Both"/>
    <w:basedOn w:val="Normal"/>
    <w:uiPriority w:val="1"/>
    <w:qFormat/>
    <w:rsid w:val="00E06921"/>
    <w:pPr>
      <w:tabs>
        <w:tab w:val="left" w:pos="1080"/>
        <w:tab w:val="right" w:leader="underscore" w:pos="4320"/>
        <w:tab w:val="left" w:pos="5040"/>
        <w:tab w:val="left" w:pos="6120"/>
        <w:tab w:val="right" w:leader="underscore" w:pos="9360"/>
      </w:tabs>
      <w:spacing w:after="0"/>
      <w:jc w:val="left"/>
    </w:pPr>
  </w:style>
  <w:style w:type="paragraph" w:customStyle="1" w:styleId="SBLSignatureBlockLeft">
    <w:name w:val="SBL Signature Block Left"/>
    <w:basedOn w:val="Normal"/>
    <w:uiPriority w:val="1"/>
    <w:qFormat/>
    <w:rsid w:val="00E06921"/>
    <w:pPr>
      <w:tabs>
        <w:tab w:val="left" w:pos="1080"/>
        <w:tab w:val="right" w:leader="underscore" w:pos="4320"/>
      </w:tabs>
      <w:spacing w:after="0"/>
      <w:jc w:val="left"/>
    </w:pPr>
  </w:style>
  <w:style w:type="paragraph" w:customStyle="1" w:styleId="SBRSignatureBlockRight">
    <w:name w:val="SBR Signature Block Right"/>
    <w:basedOn w:val="Normal"/>
    <w:uiPriority w:val="1"/>
    <w:qFormat/>
    <w:rsid w:val="00E06921"/>
    <w:pPr>
      <w:tabs>
        <w:tab w:val="left" w:pos="5040"/>
        <w:tab w:val="right" w:leader="underscore" w:pos="9360"/>
      </w:tabs>
      <w:spacing w:after="0"/>
      <w:ind w:left="4320"/>
      <w:jc w:val="left"/>
    </w:pPr>
  </w:style>
  <w:style w:type="paragraph" w:customStyle="1" w:styleId="SBTSignatureBlockText">
    <w:name w:val="SBT Signature Block Text"/>
    <w:basedOn w:val="Normal"/>
    <w:uiPriority w:val="1"/>
    <w:qFormat/>
    <w:rsid w:val="00E06921"/>
    <w:pPr>
      <w:tabs>
        <w:tab w:val="left" w:pos="1080"/>
        <w:tab w:val="left" w:pos="6120"/>
      </w:tabs>
      <w:jc w:val="left"/>
    </w:pPr>
  </w:style>
  <w:style w:type="paragraph" w:customStyle="1" w:styleId="SUSubtitle">
    <w:name w:val="SU Subtitle"/>
    <w:basedOn w:val="Normal"/>
    <w:next w:val="BTBodyText"/>
    <w:uiPriority w:val="1"/>
    <w:qFormat/>
    <w:rsid w:val="0069339D"/>
    <w:pPr>
      <w:keepNext/>
      <w:jc w:val="center"/>
      <w:outlineLvl w:val="1"/>
    </w:pPr>
    <w:rPr>
      <w:b/>
    </w:rPr>
  </w:style>
  <w:style w:type="paragraph" w:customStyle="1" w:styleId="TBCTitleBoldCenter">
    <w:name w:val="TBC Title Bold Center"/>
    <w:basedOn w:val="Normal"/>
    <w:next w:val="Normal"/>
    <w:uiPriority w:val="2"/>
    <w:qFormat/>
    <w:rsid w:val="0069339D"/>
    <w:pPr>
      <w:keepNext/>
      <w:jc w:val="center"/>
      <w:outlineLvl w:val="0"/>
    </w:pPr>
    <w:rPr>
      <w:b/>
    </w:rPr>
  </w:style>
  <w:style w:type="paragraph" w:customStyle="1" w:styleId="TBCUTitleBoldCenterUnderline">
    <w:name w:val="TBCU Title Bold Center Underline"/>
    <w:basedOn w:val="Normal"/>
    <w:next w:val="Normal"/>
    <w:uiPriority w:val="2"/>
    <w:qFormat/>
    <w:rsid w:val="0069339D"/>
    <w:pPr>
      <w:keepNext/>
      <w:jc w:val="center"/>
      <w:outlineLvl w:val="0"/>
    </w:pPr>
    <w:rPr>
      <w:b/>
      <w:u w:val="single"/>
    </w:rPr>
  </w:style>
  <w:style w:type="character" w:customStyle="1" w:styleId="Heading1Char">
    <w:name w:val="Heading 1 Char"/>
    <w:basedOn w:val="DefaultParagraphFont"/>
    <w:link w:val="Heading1"/>
    <w:uiPriority w:val="99"/>
    <w:rsid w:val="003074C5"/>
    <w:rPr>
      <w:rFonts w:ascii="Times New Roman Bold" w:eastAsiaTheme="majorEastAsia" w:hAnsi="Times New Roman Bold" w:cstheme="majorBidi"/>
      <w:b/>
      <w:bCs/>
      <w:caps/>
      <w:color w:val="000000"/>
      <w:szCs w:val="28"/>
    </w:rPr>
  </w:style>
  <w:style w:type="paragraph" w:customStyle="1" w:styleId="LBListBullet">
    <w:name w:val="LB ListBullet"/>
    <w:basedOn w:val="Normal"/>
    <w:uiPriority w:val="1"/>
    <w:qFormat/>
    <w:rsid w:val="00DA6599"/>
    <w:pPr>
      <w:numPr>
        <w:numId w:val="5"/>
      </w:numPr>
      <w:tabs>
        <w:tab w:val="left" w:pos="720"/>
      </w:tabs>
      <w:outlineLvl w:val="0"/>
    </w:pPr>
  </w:style>
  <w:style w:type="paragraph" w:customStyle="1" w:styleId="LN1ListNumber">
    <w:name w:val="LN1 ListNumber"/>
    <w:basedOn w:val="Normal"/>
    <w:uiPriority w:val="1"/>
    <w:qFormat/>
    <w:rsid w:val="00E06921"/>
    <w:pPr>
      <w:numPr>
        <w:numId w:val="7"/>
      </w:numPr>
      <w:outlineLvl w:val="0"/>
    </w:pPr>
  </w:style>
  <w:style w:type="paragraph" w:customStyle="1" w:styleId="LN2ListNumber">
    <w:name w:val="LN2 ListNumber"/>
    <w:basedOn w:val="Normal"/>
    <w:uiPriority w:val="1"/>
    <w:qFormat/>
    <w:rsid w:val="00E06921"/>
    <w:pPr>
      <w:numPr>
        <w:numId w:val="9"/>
      </w:numPr>
      <w:tabs>
        <w:tab w:val="left" w:pos="720"/>
      </w:tabs>
      <w:outlineLvl w:val="0"/>
    </w:pPr>
  </w:style>
  <w:style w:type="paragraph" w:customStyle="1" w:styleId="TITitle">
    <w:name w:val="TI Title"/>
    <w:basedOn w:val="Normal"/>
    <w:next w:val="Normal"/>
    <w:uiPriority w:val="2"/>
    <w:qFormat/>
    <w:rsid w:val="006D01B8"/>
    <w:pPr>
      <w:keepNext/>
      <w:jc w:val="center"/>
    </w:pPr>
    <w:rPr>
      <w:b/>
      <w:kern w:val="28"/>
      <w:sz w:val="28"/>
    </w:rPr>
  </w:style>
  <w:style w:type="character" w:customStyle="1" w:styleId="Heading2Char">
    <w:name w:val="Heading 2 Char"/>
    <w:basedOn w:val="DefaultParagraphFont"/>
    <w:link w:val="Heading2"/>
    <w:uiPriority w:val="99"/>
    <w:rsid w:val="003074C5"/>
    <w:rPr>
      <w:rFonts w:eastAsiaTheme="majorEastAsia" w:cstheme="majorBidi"/>
      <w:b/>
      <w:bCs/>
      <w:color w:val="000000"/>
      <w:szCs w:val="26"/>
    </w:rPr>
  </w:style>
  <w:style w:type="character" w:customStyle="1" w:styleId="Heading3Char">
    <w:name w:val="Heading 3 Char"/>
    <w:basedOn w:val="DefaultParagraphFont"/>
    <w:link w:val="Heading3"/>
    <w:uiPriority w:val="99"/>
    <w:rsid w:val="003074C5"/>
    <w:rPr>
      <w:rFonts w:eastAsiaTheme="majorEastAsia" w:cstheme="majorBidi"/>
      <w:b/>
      <w:bCs/>
      <w:i/>
      <w:color w:val="000000"/>
    </w:rPr>
  </w:style>
  <w:style w:type="character" w:customStyle="1" w:styleId="Heading4Char">
    <w:name w:val="Heading 4 Char"/>
    <w:basedOn w:val="DefaultParagraphFont"/>
    <w:link w:val="Heading4"/>
    <w:uiPriority w:val="99"/>
    <w:rsid w:val="003074C5"/>
    <w:rPr>
      <w:rFonts w:eastAsiaTheme="majorEastAsia" w:cstheme="majorBidi"/>
      <w:bCs/>
      <w:iCs/>
      <w:color w:val="000000"/>
    </w:rPr>
  </w:style>
  <w:style w:type="character" w:customStyle="1" w:styleId="Heading5Char">
    <w:name w:val="Heading 5 Char"/>
    <w:basedOn w:val="DefaultParagraphFont"/>
    <w:link w:val="Heading5"/>
    <w:uiPriority w:val="99"/>
    <w:rsid w:val="003074C5"/>
    <w:rPr>
      <w:rFonts w:eastAsiaTheme="majorEastAsia" w:cstheme="majorBidi"/>
      <w:color w:val="000000"/>
    </w:rPr>
  </w:style>
  <w:style w:type="character" w:customStyle="1" w:styleId="Heading6Char">
    <w:name w:val="Heading 6 Char"/>
    <w:basedOn w:val="DefaultParagraphFont"/>
    <w:link w:val="Heading6"/>
    <w:uiPriority w:val="99"/>
    <w:rsid w:val="003074C5"/>
    <w:rPr>
      <w:rFonts w:eastAsiaTheme="majorEastAsia" w:cstheme="majorBidi"/>
      <w:iCs/>
      <w:color w:val="000000"/>
    </w:rPr>
  </w:style>
  <w:style w:type="character" w:customStyle="1" w:styleId="Heading7Char">
    <w:name w:val="Heading 7 Char"/>
    <w:basedOn w:val="DefaultParagraphFont"/>
    <w:link w:val="Heading7"/>
    <w:uiPriority w:val="99"/>
    <w:rsid w:val="003074C5"/>
    <w:rPr>
      <w:rFonts w:eastAsiaTheme="majorEastAsia" w:cstheme="majorBidi"/>
      <w:iCs/>
      <w:color w:val="000000"/>
    </w:rPr>
  </w:style>
  <w:style w:type="character" w:customStyle="1" w:styleId="Heading8Char">
    <w:name w:val="Heading 8 Char"/>
    <w:basedOn w:val="DefaultParagraphFont"/>
    <w:link w:val="Heading8"/>
    <w:uiPriority w:val="99"/>
    <w:rsid w:val="003074C5"/>
    <w:rPr>
      <w:rFonts w:eastAsiaTheme="majorEastAsia" w:cstheme="majorBidi"/>
      <w:color w:val="000000"/>
      <w:szCs w:val="20"/>
    </w:rPr>
  </w:style>
  <w:style w:type="character" w:customStyle="1" w:styleId="Heading9Char">
    <w:name w:val="Heading 9 Char"/>
    <w:basedOn w:val="DefaultParagraphFont"/>
    <w:link w:val="Heading9"/>
    <w:uiPriority w:val="99"/>
    <w:semiHidden/>
    <w:rsid w:val="003074C5"/>
    <w:rPr>
      <w:rFonts w:eastAsiaTheme="majorEastAsia" w:cstheme="majorBidi"/>
      <w:iCs/>
      <w:color w:val="000000"/>
      <w:szCs w:val="20"/>
    </w:rPr>
  </w:style>
  <w:style w:type="paragraph" w:customStyle="1" w:styleId="BLBlock">
    <w:name w:val="BL Block"/>
    <w:basedOn w:val="Normal"/>
    <w:uiPriority w:val="1"/>
    <w:qFormat/>
    <w:rsid w:val="008A0F3D"/>
    <w:pPr>
      <w:ind w:left="1440" w:right="1440"/>
    </w:pPr>
  </w:style>
  <w:style w:type="paragraph" w:styleId="ListParagraph">
    <w:name w:val="List Paragraph"/>
    <w:basedOn w:val="Normal"/>
    <w:uiPriority w:val="99"/>
    <w:unhideWhenUsed/>
    <w:qFormat/>
    <w:rsid w:val="008617C7"/>
    <w:pPr>
      <w:ind w:left="720"/>
    </w:pPr>
  </w:style>
  <w:style w:type="table" w:styleId="TableGrid">
    <w:name w:val="Table Grid"/>
    <w:basedOn w:val="TableNormal"/>
    <w:uiPriority w:val="59"/>
    <w:rsid w:val="00D24F2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2F0FA6"/>
    <w:pPr>
      <w:tabs>
        <w:tab w:val="center" w:pos="4680"/>
        <w:tab w:val="right" w:pos="9360"/>
      </w:tabs>
      <w:spacing w:after="0"/>
    </w:pPr>
  </w:style>
  <w:style w:type="character" w:customStyle="1" w:styleId="HeaderChar">
    <w:name w:val="Header Char"/>
    <w:basedOn w:val="DefaultParagraphFont"/>
    <w:link w:val="Header"/>
    <w:rsid w:val="002F0FA6"/>
  </w:style>
  <w:style w:type="paragraph" w:styleId="Footer">
    <w:name w:val="footer"/>
    <w:basedOn w:val="Normal"/>
    <w:link w:val="FooterChar"/>
    <w:unhideWhenUsed/>
    <w:rsid w:val="002F0FA6"/>
    <w:pPr>
      <w:tabs>
        <w:tab w:val="center" w:pos="4680"/>
        <w:tab w:val="right" w:pos="9360"/>
      </w:tabs>
      <w:spacing w:after="0"/>
    </w:pPr>
  </w:style>
  <w:style w:type="character" w:customStyle="1" w:styleId="FooterChar">
    <w:name w:val="Footer Char"/>
    <w:basedOn w:val="DefaultParagraphFont"/>
    <w:link w:val="Footer"/>
    <w:rsid w:val="002F0FA6"/>
  </w:style>
  <w:style w:type="character" w:styleId="CommentReference">
    <w:name w:val="annotation reference"/>
    <w:basedOn w:val="DefaultParagraphFont"/>
    <w:uiPriority w:val="99"/>
    <w:semiHidden/>
    <w:unhideWhenUsed/>
    <w:rsid w:val="00130D16"/>
    <w:rPr>
      <w:sz w:val="16"/>
      <w:szCs w:val="16"/>
    </w:rPr>
  </w:style>
  <w:style w:type="paragraph" w:styleId="CommentText">
    <w:name w:val="annotation text"/>
    <w:basedOn w:val="Normal"/>
    <w:link w:val="CommentTextChar"/>
    <w:uiPriority w:val="99"/>
    <w:unhideWhenUsed/>
    <w:rsid w:val="00130D16"/>
    <w:rPr>
      <w:sz w:val="20"/>
      <w:szCs w:val="20"/>
    </w:rPr>
  </w:style>
  <w:style w:type="character" w:customStyle="1" w:styleId="CommentTextChar">
    <w:name w:val="Comment Text Char"/>
    <w:basedOn w:val="DefaultParagraphFont"/>
    <w:link w:val="CommentText"/>
    <w:uiPriority w:val="99"/>
    <w:rsid w:val="00130D16"/>
    <w:rPr>
      <w:sz w:val="20"/>
      <w:szCs w:val="20"/>
    </w:rPr>
  </w:style>
  <w:style w:type="paragraph" w:styleId="CommentSubject">
    <w:name w:val="annotation subject"/>
    <w:basedOn w:val="CommentText"/>
    <w:next w:val="CommentText"/>
    <w:link w:val="CommentSubjectChar"/>
    <w:uiPriority w:val="99"/>
    <w:semiHidden/>
    <w:unhideWhenUsed/>
    <w:rsid w:val="00130D16"/>
    <w:rPr>
      <w:b/>
      <w:bCs/>
    </w:rPr>
  </w:style>
  <w:style w:type="character" w:customStyle="1" w:styleId="CommentSubjectChar">
    <w:name w:val="Comment Subject Char"/>
    <w:basedOn w:val="CommentTextChar"/>
    <w:link w:val="CommentSubject"/>
    <w:uiPriority w:val="99"/>
    <w:semiHidden/>
    <w:rsid w:val="00130D16"/>
    <w:rPr>
      <w:b/>
      <w:bCs/>
      <w:sz w:val="20"/>
      <w:szCs w:val="20"/>
    </w:rPr>
  </w:style>
  <w:style w:type="paragraph" w:styleId="BalloonText">
    <w:name w:val="Balloon Text"/>
    <w:basedOn w:val="Normal"/>
    <w:link w:val="BalloonTextChar"/>
    <w:uiPriority w:val="99"/>
    <w:semiHidden/>
    <w:unhideWhenUsed/>
    <w:rsid w:val="00130D16"/>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130D16"/>
    <w:rPr>
      <w:rFonts w:ascii="Tahoma" w:hAnsi="Tahoma" w:cs="Tahoma"/>
      <w:sz w:val="16"/>
      <w:szCs w:val="16"/>
    </w:rPr>
  </w:style>
  <w:style w:type="paragraph" w:styleId="FootnoteText">
    <w:name w:val="footnote text"/>
    <w:basedOn w:val="Normal"/>
    <w:link w:val="FootnoteTextChar"/>
    <w:unhideWhenUsed/>
    <w:qFormat/>
    <w:rsid w:val="00BE374E"/>
    <w:pPr>
      <w:spacing w:after="0"/>
    </w:pPr>
    <w:rPr>
      <w:sz w:val="20"/>
      <w:szCs w:val="20"/>
    </w:rPr>
  </w:style>
  <w:style w:type="character" w:customStyle="1" w:styleId="FootnoteTextChar">
    <w:name w:val="Footnote Text Char"/>
    <w:basedOn w:val="DefaultParagraphFont"/>
    <w:link w:val="FootnoteText"/>
    <w:rsid w:val="00BE374E"/>
    <w:rPr>
      <w:sz w:val="20"/>
      <w:szCs w:val="20"/>
    </w:rPr>
  </w:style>
  <w:style w:type="character" w:styleId="FootnoteReference">
    <w:name w:val="footnote reference"/>
    <w:basedOn w:val="DefaultParagraphFont"/>
    <w:unhideWhenUsed/>
    <w:rsid w:val="00BE374E"/>
    <w:rPr>
      <w:vertAlign w:val="superscript"/>
    </w:rPr>
  </w:style>
  <w:style w:type="character" w:styleId="Hyperlink">
    <w:name w:val="Hyperlink"/>
    <w:basedOn w:val="DefaultParagraphFont"/>
    <w:uiPriority w:val="99"/>
    <w:unhideWhenUsed/>
    <w:rsid w:val="0014203B"/>
    <w:rPr>
      <w:color w:val="0000FF" w:themeColor="hyperlink"/>
      <w:u w:val="single"/>
    </w:rPr>
  </w:style>
  <w:style w:type="paragraph" w:styleId="Revision">
    <w:name w:val="Revision"/>
    <w:hidden/>
    <w:uiPriority w:val="99"/>
    <w:semiHidden/>
    <w:rsid w:val="003F3A39"/>
    <w:pPr>
      <w:spacing w:after="0"/>
    </w:pPr>
  </w:style>
  <w:style w:type="paragraph" w:styleId="EndnoteText">
    <w:name w:val="endnote text"/>
    <w:basedOn w:val="Normal"/>
    <w:link w:val="EndnoteTextChar"/>
    <w:uiPriority w:val="99"/>
    <w:semiHidden/>
    <w:unhideWhenUsed/>
    <w:rsid w:val="00984452"/>
    <w:pPr>
      <w:spacing w:after="0"/>
    </w:pPr>
    <w:rPr>
      <w:sz w:val="20"/>
      <w:szCs w:val="20"/>
    </w:rPr>
  </w:style>
  <w:style w:type="character" w:customStyle="1" w:styleId="EndnoteTextChar">
    <w:name w:val="Endnote Text Char"/>
    <w:basedOn w:val="DefaultParagraphFont"/>
    <w:link w:val="EndnoteText"/>
    <w:uiPriority w:val="99"/>
    <w:semiHidden/>
    <w:rsid w:val="00984452"/>
    <w:rPr>
      <w:sz w:val="20"/>
      <w:szCs w:val="20"/>
    </w:rPr>
  </w:style>
  <w:style w:type="character" w:styleId="EndnoteReference">
    <w:name w:val="endnote reference"/>
    <w:basedOn w:val="DefaultParagraphFont"/>
    <w:uiPriority w:val="99"/>
    <w:semiHidden/>
    <w:unhideWhenUsed/>
    <w:rsid w:val="00984452"/>
    <w:rPr>
      <w:vertAlign w:val="superscript"/>
    </w:rPr>
  </w:style>
  <w:style w:type="paragraph" w:customStyle="1" w:styleId="BodyTextQuote1">
    <w:name w:val="Body Text Quote 1"/>
    <w:aliases w:val="Q1,VE Body Text Quote 1"/>
    <w:basedOn w:val="Normal"/>
    <w:rsid w:val="00B56896"/>
    <w:pPr>
      <w:ind w:left="1440" w:right="1440"/>
      <w:jc w:val="left"/>
    </w:pPr>
    <w:rPr>
      <w:rFonts w:eastAsia="Times New Roman" w:cs="Times New Roman"/>
    </w:rPr>
  </w:style>
  <w:style w:type="paragraph" w:customStyle="1" w:styleId="LetterText">
    <w:name w:val="Letter Text"/>
    <w:basedOn w:val="Normal"/>
    <w:rsid w:val="002D7A9B"/>
    <w:pPr>
      <w:spacing w:line="300" w:lineRule="exact"/>
      <w:ind w:firstLine="720"/>
    </w:pPr>
    <w:rPr>
      <w:rFonts w:eastAsia="Times New Roman" w:cs="Times New Roman"/>
    </w:rPr>
  </w:style>
  <w:style w:type="paragraph" w:styleId="BodyText">
    <w:name w:val="Body Text"/>
    <w:basedOn w:val="Normal"/>
    <w:link w:val="BodyTextChar"/>
    <w:uiPriority w:val="99"/>
    <w:semiHidden/>
    <w:unhideWhenUsed/>
    <w:rsid w:val="003074C5"/>
    <w:pPr>
      <w:spacing w:after="120"/>
    </w:pPr>
  </w:style>
  <w:style w:type="character" w:customStyle="1" w:styleId="BodyTextChar">
    <w:name w:val="Body Text Char"/>
    <w:basedOn w:val="DefaultParagraphFont"/>
    <w:link w:val="BodyText"/>
    <w:uiPriority w:val="99"/>
    <w:semiHidden/>
    <w:rsid w:val="003074C5"/>
  </w:style>
  <w:style w:type="paragraph" w:styleId="TOC1">
    <w:name w:val="toc 1"/>
    <w:basedOn w:val="Normal"/>
    <w:next w:val="Normal"/>
    <w:autoRedefine/>
    <w:uiPriority w:val="39"/>
    <w:unhideWhenUsed/>
    <w:rsid w:val="00D94A91"/>
    <w:pPr>
      <w:tabs>
        <w:tab w:val="right" w:leader="dot" w:pos="9360"/>
      </w:tabs>
      <w:spacing w:after="180"/>
      <w:ind w:left="720" w:right="720" w:hanging="720"/>
      <w:jc w:val="left"/>
    </w:pPr>
  </w:style>
  <w:style w:type="paragraph" w:styleId="TOC2">
    <w:name w:val="toc 2"/>
    <w:basedOn w:val="Normal"/>
    <w:next w:val="Normal"/>
    <w:autoRedefine/>
    <w:uiPriority w:val="39"/>
    <w:unhideWhenUsed/>
    <w:rsid w:val="00962110"/>
    <w:pPr>
      <w:tabs>
        <w:tab w:val="right" w:leader="dot" w:pos="9360"/>
      </w:tabs>
      <w:spacing w:after="180"/>
      <w:ind w:left="1440" w:right="720" w:hanging="720"/>
    </w:pPr>
  </w:style>
  <w:style w:type="paragraph" w:styleId="TOC3">
    <w:name w:val="toc 3"/>
    <w:basedOn w:val="Normal"/>
    <w:next w:val="Normal"/>
    <w:autoRedefine/>
    <w:uiPriority w:val="39"/>
    <w:unhideWhenUsed/>
    <w:rsid w:val="00962110"/>
    <w:pPr>
      <w:tabs>
        <w:tab w:val="right" w:leader="dot" w:pos="9360"/>
      </w:tabs>
      <w:spacing w:after="180"/>
      <w:ind w:left="2160" w:right="720" w:hanging="720"/>
    </w:pPr>
  </w:style>
  <w:style w:type="paragraph" w:styleId="TOC4">
    <w:name w:val="toc 4"/>
    <w:basedOn w:val="Normal"/>
    <w:next w:val="Normal"/>
    <w:autoRedefine/>
    <w:uiPriority w:val="99"/>
    <w:semiHidden/>
    <w:unhideWhenUsed/>
    <w:rsid w:val="003074C5"/>
    <w:pPr>
      <w:spacing w:after="100"/>
      <w:ind w:left="720"/>
    </w:pPr>
  </w:style>
  <w:style w:type="paragraph" w:styleId="TOC5">
    <w:name w:val="toc 5"/>
    <w:basedOn w:val="Normal"/>
    <w:next w:val="Normal"/>
    <w:autoRedefine/>
    <w:uiPriority w:val="99"/>
    <w:semiHidden/>
    <w:unhideWhenUsed/>
    <w:rsid w:val="003074C5"/>
    <w:pPr>
      <w:spacing w:after="100"/>
      <w:ind w:left="960"/>
    </w:pPr>
  </w:style>
  <w:style w:type="paragraph" w:styleId="TOC6">
    <w:name w:val="toc 6"/>
    <w:basedOn w:val="Normal"/>
    <w:next w:val="Normal"/>
    <w:autoRedefine/>
    <w:uiPriority w:val="99"/>
    <w:semiHidden/>
    <w:unhideWhenUsed/>
    <w:rsid w:val="003074C5"/>
    <w:pPr>
      <w:spacing w:after="100"/>
      <w:ind w:left="1200"/>
    </w:pPr>
  </w:style>
  <w:style w:type="paragraph" w:styleId="TOC7">
    <w:name w:val="toc 7"/>
    <w:basedOn w:val="Normal"/>
    <w:next w:val="Normal"/>
    <w:autoRedefine/>
    <w:uiPriority w:val="99"/>
    <w:semiHidden/>
    <w:unhideWhenUsed/>
    <w:rsid w:val="003074C5"/>
    <w:pPr>
      <w:spacing w:after="100"/>
      <w:ind w:left="1440"/>
    </w:pPr>
  </w:style>
  <w:style w:type="paragraph" w:styleId="TOC8">
    <w:name w:val="toc 8"/>
    <w:basedOn w:val="Normal"/>
    <w:next w:val="Normal"/>
    <w:autoRedefine/>
    <w:uiPriority w:val="99"/>
    <w:semiHidden/>
    <w:unhideWhenUsed/>
    <w:rsid w:val="003074C5"/>
    <w:pPr>
      <w:spacing w:after="100"/>
      <w:ind w:left="1680"/>
    </w:pPr>
  </w:style>
  <w:style w:type="paragraph" w:styleId="TOC9">
    <w:name w:val="toc 9"/>
    <w:basedOn w:val="Normal"/>
    <w:next w:val="Normal"/>
    <w:autoRedefine/>
    <w:uiPriority w:val="99"/>
    <w:semiHidden/>
    <w:unhideWhenUsed/>
    <w:rsid w:val="003074C5"/>
    <w:pPr>
      <w:spacing w:after="100"/>
      <w:ind w:left="1920"/>
    </w:pPr>
  </w:style>
  <w:style w:type="paragraph" w:customStyle="1" w:styleId="TOCPage">
    <w:name w:val="TOC Page"/>
    <w:basedOn w:val="Normal"/>
    <w:next w:val="Normal"/>
    <w:link w:val="TOCPageChar"/>
    <w:rsid w:val="00DB3679"/>
    <w:pPr>
      <w:jc w:val="right"/>
    </w:pPr>
    <w:rPr>
      <w:b/>
      <w:u w:val="single"/>
    </w:rPr>
  </w:style>
  <w:style w:type="character" w:customStyle="1" w:styleId="TOCPageChar">
    <w:name w:val="TOC Page Char"/>
    <w:basedOn w:val="DefaultParagraphFont"/>
    <w:link w:val="TOCPage"/>
    <w:rsid w:val="00DB3679"/>
    <w:rPr>
      <w:b/>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7424108">
      <w:bodyDiv w:val="1"/>
      <w:marLeft w:val="0"/>
      <w:marRight w:val="0"/>
      <w:marTop w:val="0"/>
      <w:marBottom w:val="0"/>
      <w:divBdr>
        <w:top w:val="none" w:sz="0" w:space="0" w:color="auto"/>
        <w:left w:val="none" w:sz="0" w:space="0" w:color="auto"/>
        <w:bottom w:val="none" w:sz="0" w:space="0" w:color="auto"/>
        <w:right w:val="none" w:sz="0" w:space="0" w:color="auto"/>
      </w:divBdr>
    </w:div>
    <w:div w:id="271012414">
      <w:bodyDiv w:val="1"/>
      <w:marLeft w:val="0"/>
      <w:marRight w:val="0"/>
      <w:marTop w:val="0"/>
      <w:marBottom w:val="0"/>
      <w:divBdr>
        <w:top w:val="none" w:sz="0" w:space="0" w:color="auto"/>
        <w:left w:val="none" w:sz="0" w:space="0" w:color="auto"/>
        <w:bottom w:val="none" w:sz="0" w:space="0" w:color="auto"/>
        <w:right w:val="none" w:sz="0" w:space="0" w:color="auto"/>
      </w:divBdr>
    </w:div>
    <w:div w:id="492835900">
      <w:bodyDiv w:val="1"/>
      <w:marLeft w:val="0"/>
      <w:marRight w:val="0"/>
      <w:marTop w:val="0"/>
      <w:marBottom w:val="0"/>
      <w:divBdr>
        <w:top w:val="none" w:sz="0" w:space="0" w:color="auto"/>
        <w:left w:val="none" w:sz="0" w:space="0" w:color="auto"/>
        <w:bottom w:val="none" w:sz="0" w:space="0" w:color="auto"/>
        <w:right w:val="none" w:sz="0" w:space="0" w:color="auto"/>
      </w:divBdr>
    </w:div>
    <w:div w:id="999190548">
      <w:bodyDiv w:val="1"/>
      <w:marLeft w:val="0"/>
      <w:marRight w:val="0"/>
      <w:marTop w:val="0"/>
      <w:marBottom w:val="0"/>
      <w:divBdr>
        <w:top w:val="none" w:sz="0" w:space="0" w:color="auto"/>
        <w:left w:val="none" w:sz="0" w:space="0" w:color="auto"/>
        <w:bottom w:val="none" w:sz="0" w:space="0" w:color="auto"/>
        <w:right w:val="none" w:sz="0" w:space="0" w:color="auto"/>
      </w:divBdr>
    </w:div>
    <w:div w:id="1445151293">
      <w:bodyDiv w:val="1"/>
      <w:marLeft w:val="0"/>
      <w:marRight w:val="0"/>
      <w:marTop w:val="0"/>
      <w:marBottom w:val="0"/>
      <w:divBdr>
        <w:top w:val="none" w:sz="0" w:space="0" w:color="auto"/>
        <w:left w:val="none" w:sz="0" w:space="0" w:color="auto"/>
        <w:bottom w:val="none" w:sz="0" w:space="0" w:color="auto"/>
        <w:right w:val="none" w:sz="0" w:space="0" w:color="auto"/>
      </w:divBdr>
    </w:div>
    <w:div w:id="1585652071">
      <w:bodyDiv w:val="1"/>
      <w:marLeft w:val="0"/>
      <w:marRight w:val="0"/>
      <w:marTop w:val="0"/>
      <w:marBottom w:val="0"/>
      <w:divBdr>
        <w:top w:val="none" w:sz="0" w:space="0" w:color="auto"/>
        <w:left w:val="none" w:sz="0" w:space="0" w:color="auto"/>
        <w:bottom w:val="none" w:sz="0" w:space="0" w:color="auto"/>
        <w:right w:val="none" w:sz="0" w:space="0" w:color="auto"/>
      </w:divBdr>
    </w:div>
    <w:div w:id="2022779166">
      <w:bodyDiv w:val="1"/>
      <w:marLeft w:val="0"/>
      <w:marRight w:val="0"/>
      <w:marTop w:val="0"/>
      <w:marBottom w:val="0"/>
      <w:divBdr>
        <w:top w:val="none" w:sz="0" w:space="0" w:color="auto"/>
        <w:left w:val="none" w:sz="0" w:space="0" w:color="auto"/>
        <w:bottom w:val="none" w:sz="0" w:space="0" w:color="auto"/>
        <w:right w:val="none" w:sz="0" w:space="0" w:color="auto"/>
      </w:divBdr>
    </w:div>
    <w:div w:id="20392356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jimlee@velaw.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ssnyder@velaw.co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mailto:mtomsu@velaw.com" TargetMode="Externa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fontTable" Target="fontTable.xml"/><Relationship Id="rId22" Type="http://schemas.microsoft.com/office/2011/relationships/commentsExtended" Target="commentsExtended.xml"/></Relationships>
</file>

<file path=word/_rels/footnotes.xml.rels><?xml version="1.0" encoding="UTF-8" standalone="yes"?>
<Relationships xmlns="http://schemas.openxmlformats.org/package/2006/relationships"><Relationship Id="rId1" Type="http://schemas.openxmlformats.org/officeDocument/2006/relationships/hyperlink" Target="http://www.puc.texas.gov/agency/about/mission.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3E8A11-F479-45EF-B3AE-0F5B6BC18D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3585</Words>
  <Characters>20436</Characters>
  <Application>Microsoft Office Word</Application>
  <DocSecurity>0</DocSecurity>
  <Lines>170</Lines>
  <Paragraphs>47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23974</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description>~Heading 3~</dc:description>
  <cp:lastModifiedBy/>
  <cp:revision>1</cp:revision>
  <dcterms:created xsi:type="dcterms:W3CDTF">2017-04-07T18:14:00Z</dcterms:created>
  <dcterms:modified xsi:type="dcterms:W3CDTF">2017-04-07T18:14:00Z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S_TRACKING_ID">
    <vt:lpwstr>bca5b054-6d7f-460e-8943-ff18f47ab328</vt:lpwstr>
  </property>
  <property fmtid="{D5CDD505-2E9C-101B-9397-08002B2CF9AE}" pid="3" name="SWDocID">
    <vt:lpwstr>US 4971358v.1</vt:lpwstr>
  </property>
  <property fmtid="{D5CDD505-2E9C-101B-9397-08002B2CF9AE}" pid="4" name="DisableDocIdTrigers">
    <vt:lpwstr>True</vt:lpwstr>
  </property>
</Properties>
</file>